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11EF1" w:rsidRPr="00D11EF1" w14:paraId="6A1EA7ED" w14:textId="77777777">
        <w:trPr>
          <w:jc w:val="center"/>
        </w:trPr>
        <w:tc>
          <w:tcPr>
            <w:tcW w:w="0" w:type="auto"/>
            <w:shd w:val="clear" w:color="auto" w:fill="15323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11EF1" w:rsidRPr="00D11EF1" w14:paraId="14CE004E" w14:textId="77777777" w:rsidTr="005500AD">
              <w:trPr>
                <w:trHeight w:val="10347"/>
                <w:jc w:val="center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0D16C3DF" w14:textId="77777777" w:rsidR="00D11EF1" w:rsidRPr="00D11EF1" w:rsidRDefault="00D11EF1" w:rsidP="00D11EF1">
                  <w:pPr>
                    <w:spacing w:after="120" w:line="240" w:lineRule="auto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kern w:val="0"/>
                      <w14:ligatures w14:val="none"/>
                    </w:rPr>
                  </w:pPr>
                  <w:r w:rsidRPr="00D11EF1">
                    <w:rPr>
                      <w:rFonts w:ascii="Helvetica" w:eastAsia="Times New Roman" w:hAnsi="Helvetica" w:cs="Helvetica"/>
                      <w:b/>
                      <w:bCs/>
                      <w:caps/>
                      <w:kern w:val="0"/>
                      <w14:ligatures w14:val="none"/>
                    </w:rPr>
                    <w:t>FRUCOM NEWSLETTER 6/07/2026</w:t>
                  </w:r>
                </w:p>
                <w:p w14:paraId="3D650D04" w14:textId="77777777" w:rsidR="00D11EF1" w:rsidRPr="00D11EF1" w:rsidRDefault="00D11EF1" w:rsidP="005A3F89">
                  <w:pPr>
                    <w:numPr>
                      <w:ilvl w:val="0"/>
                      <w:numId w:val="1"/>
                    </w:num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FRUCOM ACTIVITIES</w:t>
                  </w:r>
                </w:p>
                <w:p w14:paraId="68B12579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5" w:history="1"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FRUCOM-CEEREAL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joint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event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15-16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October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list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registered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participants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/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updated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programme</w:t>
                    </w:r>
                    <w:proofErr w:type="spellEnd"/>
                  </w:hyperlink>
                </w:p>
                <w:p w14:paraId="6EF776AF" w14:textId="77777777" w:rsidR="00D11EF1" w:rsidRPr="00D11EF1" w:rsidRDefault="00D11EF1" w:rsidP="005A3F89">
                  <w:pPr>
                    <w:numPr>
                      <w:ilvl w:val="0"/>
                      <w:numId w:val="1"/>
                    </w:num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ALL PRODUCTS</w:t>
                  </w:r>
                </w:p>
                <w:p w14:paraId="26910EB6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6" w:history="1"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Contaminants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Member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States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Working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Group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agendas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7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16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July</w:t>
                    </w:r>
                    <w:proofErr w:type="spellEnd"/>
                  </w:hyperlink>
                </w:p>
                <w:p w14:paraId="25EE2EC4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7" w:history="1"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Omnibus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priority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active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substances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proofErr w:type="gram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producers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-</w:t>
                    </w:r>
                    <w:proofErr w:type="gram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your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feedback</w:t>
                    </w:r>
                    <w:proofErr w:type="spellEnd"/>
                  </w:hyperlink>
                </w:p>
                <w:p w14:paraId="3D84D617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8" w:history="1"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adopts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initiative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include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chlorpyrifos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list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persistent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organic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pollutants</w:t>
                    </w:r>
                    <w:proofErr w:type="spellEnd"/>
                  </w:hyperlink>
                </w:p>
                <w:p w14:paraId="2C1615BC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9" w:history="1"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EU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notifies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WTO of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non-renewal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approval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buprofezin</w:t>
                    </w:r>
                    <w:proofErr w:type="spellEnd"/>
                  </w:hyperlink>
                </w:p>
                <w:p w14:paraId="664C9DEB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0" w:history="1"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Official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Journal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EU – US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Regulation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reducing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tariffs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US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goods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published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Official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Journal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enter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into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force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1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July</w:t>
                    </w:r>
                    <w:proofErr w:type="spellEnd"/>
                  </w:hyperlink>
                </w:p>
                <w:p w14:paraId="24532B4C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1" w:history="1"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EU-US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Frequently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asked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questions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about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under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regulation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liberalise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market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access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US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agricultural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industrial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goods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Turnberry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Agreement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)</w:t>
                    </w:r>
                  </w:hyperlink>
                </w:p>
                <w:p w14:paraId="25B0BDCE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2" w:history="1"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Official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Journal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/US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EU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revises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Regulation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Rules of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Origin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add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obligation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direct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transport (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concerns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EU-US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Turnberry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agreement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)</w:t>
                    </w:r>
                  </w:hyperlink>
                </w:p>
                <w:p w14:paraId="086E4E59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3" w:history="1"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EU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Forced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Labour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Prohibition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Regulation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–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Release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guidelines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Implementation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Database</w:t>
                    </w:r>
                  </w:hyperlink>
                </w:p>
                <w:p w14:paraId="0AC05CE4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4" w:history="1"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European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publishes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updated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Questions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Answers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document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Common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understanding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old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stock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situations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under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Directive on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Empowering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Consumers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the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Green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Transition</w:t>
                    </w:r>
                    <w:proofErr w:type="spellEnd"/>
                  </w:hyperlink>
                </w:p>
                <w:p w14:paraId="10B83EEB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5" w:history="1"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RASFF NOTIFICATION: 2026/27 (29/06/</w:t>
                    </w:r>
                    <w:proofErr w:type="gram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05/07/2026)</w:t>
                    </w:r>
                  </w:hyperlink>
                </w:p>
                <w:p w14:paraId="075277AB" w14:textId="77777777" w:rsidR="00D11EF1" w:rsidRPr="00D11EF1" w:rsidRDefault="00D11EF1" w:rsidP="005A3F89">
                  <w:pPr>
                    <w:numPr>
                      <w:ilvl w:val="0"/>
                      <w:numId w:val="1"/>
                    </w:numPr>
                    <w:spacing w:after="120" w:line="240" w:lineRule="auto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DRIED FRUIT &amp; NUTS</w:t>
                  </w:r>
                </w:p>
                <w:p w14:paraId="01C59ABD" w14:textId="77777777" w:rsidR="00D11EF1" w:rsidRPr="00D11EF1" w:rsidRDefault="00D11EF1" w:rsidP="005A3F89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6" w:history="1"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Additives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FRUCOM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draft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letter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SO</w:t>
                    </w:r>
                    <w:proofErr w:type="gram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2 -</w:t>
                    </w:r>
                    <w:proofErr w:type="gram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your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feedback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by</w:t>
                    </w:r>
                    <w:proofErr w:type="spellEnd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17 </w:t>
                    </w:r>
                    <w:proofErr w:type="spellStart"/>
                    <w:r w:rsidRPr="00D11EF1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July</w:t>
                    </w:r>
                    <w:proofErr w:type="spellEnd"/>
                  </w:hyperlink>
                </w:p>
              </w:tc>
            </w:tr>
            <w:tr w:rsidR="00D11EF1" w:rsidRPr="00D11EF1" w14:paraId="00D66472" w14:textId="77777777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DEE7A4B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</w:p>
              </w:tc>
            </w:tr>
          </w:tbl>
          <w:p w14:paraId="3BD80AAF" w14:textId="77777777" w:rsidR="00D11EF1" w:rsidRPr="00D11EF1" w:rsidRDefault="00D11EF1" w:rsidP="00D11EF1">
            <w:pPr>
              <w:spacing w:after="120" w:line="240" w:lineRule="auto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  <w:tr w:rsidR="00D11EF1" w:rsidRPr="00D11EF1" w14:paraId="48299CC3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11EF1" w:rsidRPr="00D11EF1" w14:paraId="382B96FF" w14:textId="77777777" w:rsidTr="005500AD">
              <w:trPr>
                <w:trHeight w:val="422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1D17EC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D11EF1" w:rsidRPr="00D11EF1" w14:paraId="165855A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B4C7B71" w14:textId="77777777" w:rsidR="00D11EF1" w:rsidRPr="00D11EF1" w:rsidRDefault="00D11EF1" w:rsidP="00D11EF1">
                  <w:pPr>
                    <w:spacing w:after="120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FRUCOM ACTIVITIES</w:t>
                  </w:r>
                </w:p>
                <w:p w14:paraId="402890D7" w14:textId="77777777" w:rsidR="00D11EF1" w:rsidRPr="00D11EF1" w:rsidRDefault="00D11EF1" w:rsidP="00D11EF1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7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FRUCOM-CEEREAL joint event 15-16 October: list of registered participants/updated programme</w:t>
                    </w:r>
                  </w:hyperlink>
                </w:p>
                <w:p w14:paraId="6F496C6F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registrations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event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programme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it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6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ED1C07A" w14:textId="7F979AB4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18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Participants_6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July</w:t>
                    </w:r>
                    <w:proofErr w:type="spellEnd"/>
                  </w:hyperlink>
                </w:p>
                <w:p w14:paraId="7FD206B9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19" w:history="1"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Draft_Joint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CEEREAL-FRUCOM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event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Programme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2026</w:t>
                    </w:r>
                  </w:hyperlink>
                </w:p>
                <w:p w14:paraId="3758D188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 xml:space="preserve">FRUCOM has sent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invitations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liaising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invited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speakers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confirmations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56B1EA7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Link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event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FRUCOM website: </w:t>
                  </w:r>
                  <w:hyperlink r:id="rId20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https://frucom.eu/events/upcoming-events/72-joint-frucom-ceereal-in-person-event.html</w:t>
                    </w:r>
                  </w:hyperlink>
                </w:p>
                <w:p w14:paraId="5983DB1C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register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event: </w:t>
                  </w:r>
                  <w:hyperlink r:id="rId21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https://www.eventbrite.com/e/1988561209107?aff=oddtdtcreator</w:t>
                    </w:r>
                  </w:hyperlink>
                </w:p>
                <w:p w14:paraId="3279B756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book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hotel: </w:t>
                  </w:r>
                  <w:hyperlink r:id="rId22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https://www.thonhotels.com/EVENT/FRUCOM/</w:t>
                    </w:r>
                  </w:hyperlink>
                </w:p>
                <w:p w14:paraId="027B22E1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team</w:t>
                  </w:r>
                  <w:proofErr w:type="spellEnd"/>
                </w:p>
                <w:p w14:paraId="301B6226" w14:textId="77777777" w:rsidR="00D11EF1" w:rsidRDefault="00D11EF1" w:rsidP="00D11EF1">
                  <w:pPr>
                    <w:spacing w:after="120" w:line="240" w:lineRule="auto"/>
                    <w:outlineLvl w:val="1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19CF074F" w14:textId="608A2E34" w:rsidR="00D11EF1" w:rsidRPr="00D11EF1" w:rsidRDefault="00D11EF1" w:rsidP="00D11EF1">
                  <w:pPr>
                    <w:spacing w:after="120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ALL PRODUCTS</w:t>
                  </w:r>
                </w:p>
                <w:p w14:paraId="365829A2" w14:textId="77777777" w:rsidR="00D11EF1" w:rsidRPr="00D11EF1" w:rsidRDefault="00D11EF1" w:rsidP="00D11EF1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3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Contaminants: Commission and Member States Working Group meeting agendas 7 and 16 July</w:t>
                    </w:r>
                  </w:hyperlink>
                </w:p>
                <w:p w14:paraId="6F41EDB6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obtained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upcoming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Contaminant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(CWG)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Respectively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 CWG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Environmental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Industrial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Contaminants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(7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CWG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Contaminants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(16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selection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topics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F49525B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CWG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Environmental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Industrial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Contaminants</w:t>
                  </w:r>
                  <w:proofErr w:type="spellEnd"/>
                </w:p>
                <w:p w14:paraId="4AE954FC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acrylamide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746E1EE9" w14:textId="77777777" w:rsidR="00D11EF1" w:rsidRPr="00D11EF1" w:rsidRDefault="00D11EF1" w:rsidP="005A3F89">
                  <w:pPr>
                    <w:numPr>
                      <w:ilvl w:val="2"/>
                      <w:numId w:val="2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review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existing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benchmark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acrylamide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FA4C8E8" w14:textId="77777777" w:rsidR="00D11EF1" w:rsidRPr="00D11EF1" w:rsidRDefault="00D11EF1" w:rsidP="005A3F89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Establishment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benchmark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acrylamide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benchmark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yet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established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FBC344A" w14:textId="77777777" w:rsidR="00D11EF1" w:rsidRPr="00D11EF1" w:rsidRDefault="00D11EF1" w:rsidP="005A3F89">
                  <w:pPr>
                    <w:numPr>
                      <w:ilvl w:val="2"/>
                      <w:numId w:val="4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Establishment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acrylamide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Finalisation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view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targeted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stakeholder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consultation</w:t>
                  </w:r>
                  <w:proofErr w:type="spellEnd"/>
                </w:p>
                <w:p w14:paraId="622EC3B6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Update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mitigation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Annex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2017/2158.</w:t>
                  </w:r>
                </w:p>
                <w:p w14:paraId="37170C3D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CWG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Agricultural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Contaminants</w:t>
                  </w:r>
                  <w:proofErr w:type="spellEnd"/>
                </w:p>
                <w:p w14:paraId="0A3D41F3" w14:textId="77777777" w:rsidR="00D11EF1" w:rsidRPr="00D11EF1" w:rsidRDefault="00D11EF1" w:rsidP="005A3F89">
                  <w:pPr>
                    <w:numPr>
                      <w:ilvl w:val="2"/>
                      <w:numId w:val="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Finalisation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requirements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business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operators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sampling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analysis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mycotoxins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toxins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their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self-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check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system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HACPP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principles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B17CD2F" w14:textId="77777777" w:rsidR="00D11EF1" w:rsidRPr="00D11EF1" w:rsidRDefault="00D11EF1" w:rsidP="005A3F89">
                  <w:pPr>
                    <w:numPr>
                      <w:ilvl w:val="2"/>
                      <w:numId w:val="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Continuation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criteria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conditions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reduce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presence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aflatoxins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through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sorting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physical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treatment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Update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guidance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document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B276FF9" w14:textId="77777777" w:rsidR="00D11EF1" w:rsidRPr="00D11EF1" w:rsidRDefault="00D11EF1" w:rsidP="005A3F89">
                  <w:pPr>
                    <w:numPr>
                      <w:ilvl w:val="2"/>
                      <w:numId w:val="7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2023/2782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laying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down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methods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sampling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analysis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mycotoxins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amendments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clarifications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corrections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2FF6C84" w14:textId="77777777" w:rsidR="00D11EF1" w:rsidRPr="00D11EF1" w:rsidRDefault="00D11EF1" w:rsidP="005A3F89">
                  <w:pPr>
                    <w:numPr>
                      <w:ilvl w:val="2"/>
                      <w:numId w:val="8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2023/915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purpose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clarifying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provisions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aflatoxins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ochratoxin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deoxynivalenol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hydrocyanic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acid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arsenic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nickel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cadmium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melamine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Contaminants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omnibus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1BF2BB41" w14:textId="77777777" w:rsidR="00D11EF1" w:rsidRPr="00D11EF1" w:rsidRDefault="00D11EF1" w:rsidP="005A3F89">
                  <w:pPr>
                    <w:numPr>
                      <w:ilvl w:val="2"/>
                      <w:numId w:val="9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Alternaria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toxins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Possible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review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indicative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Recommendation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2022/553 of 5 April 2022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monitoring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presence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Alternaria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toxins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Further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regulatory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follow-up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A06620A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Maximum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nitrates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nitrites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71EBF7AA" w14:textId="77777777" w:rsidR="00D11EF1" w:rsidRPr="00D11EF1" w:rsidRDefault="00D11EF1" w:rsidP="005A3F89">
                  <w:pPr>
                    <w:numPr>
                      <w:ilvl w:val="2"/>
                      <w:numId w:val="10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Review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nitrates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leafy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vegetables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04893364" w14:textId="77777777" w:rsidR="00D11EF1" w:rsidRPr="00D11EF1" w:rsidRDefault="00D11EF1" w:rsidP="005A3F89">
                  <w:pPr>
                    <w:numPr>
                      <w:ilvl w:val="2"/>
                      <w:numId w:val="11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Setting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nitrates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E8535E8" w14:textId="77777777" w:rsidR="00D11EF1" w:rsidRPr="00D11EF1" w:rsidRDefault="00D11EF1" w:rsidP="005A3F89">
                  <w:pPr>
                    <w:numPr>
                      <w:ilvl w:val="2"/>
                      <w:numId w:val="1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Consideration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setting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nitrites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2A332F6" w14:textId="77777777" w:rsidR="00D11EF1" w:rsidRDefault="00D11EF1" w:rsidP="00D11EF1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6447B3ED" w14:textId="381C5986" w:rsidR="00D11EF1" w:rsidRPr="00D11EF1" w:rsidRDefault="00D11EF1" w:rsidP="00D11EF1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4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Pesticides: Omnibus, priority active substances for </w:t>
                    </w:r>
                    <w:proofErr w:type="gramStart"/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producers -</w:t>
                    </w:r>
                    <w:proofErr w:type="gramEnd"/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For your feedback</w:t>
                    </w:r>
                  </w:hyperlink>
                </w:p>
                <w:p w14:paraId="2DCE7B44" w14:textId="39E6D392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numerous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occasions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newsletters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package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simplification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Omnibus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topic: </w:t>
                  </w:r>
                  <w:hyperlink r:id="rId25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https://www.frucom.eu/circulars/6017:pesticides-third-country-meeting-notes-on-pesticides,-mrls-omnibus-proposal.html</w:t>
                    </w:r>
                  </w:hyperlink>
                </w:p>
                <w:p w14:paraId="655BB651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Joint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Research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Centre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(JRC)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impact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identifying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"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harmful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"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targeted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upcoming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delays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expected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happen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summer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A6E40BC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FRUCOM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potential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impact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key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would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like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views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priority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substances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your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.</w:t>
                  </w:r>
                </w:p>
                <w:p w14:paraId="42B610B6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input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until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Friday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17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A0F04BC" w14:textId="77777777" w:rsidR="00D11EF1" w:rsidRDefault="00D11EF1" w:rsidP="00D11EF1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29B98950" w14:textId="69DB3862" w:rsidR="00D11EF1" w:rsidRPr="00D11EF1" w:rsidRDefault="00D11EF1" w:rsidP="00D11EF1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6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Commission adopts initiative to include chlorpyrifos in the list of persistent organic pollutants</w:t>
                    </w:r>
                  </w:hyperlink>
                </w:p>
                <w:p w14:paraId="4DD591B6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initiative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chlorpyrifos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persistent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pollutant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consultation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circular: </w:t>
                  </w:r>
                  <w:hyperlink r:id="rId27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https://www.frucom.eu/circulars/5683:pesticides-eu-publishes-consultation-on-the-inclusion-of-chlorpyriphos-as-a-substance-subjected-to-restrictions,-as-a-persistent-organic-pollutant.html</w:t>
                    </w:r>
                  </w:hyperlink>
                </w:p>
                <w:p w14:paraId="1543D02E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2019/1021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EU’s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international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commitments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Stockholm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Convention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persistent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pollutants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chemical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decision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chlorpyrifos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Convention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initiative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Annex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chlorpyrifos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restrictions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5963F1D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twentieth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Journal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0002389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28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https://ec.europa.eu/info/law/better-regulation/have-your-say/initiatives/14833-Persistent-organic-pollutants-chlorpyrifos_en</w:t>
                    </w:r>
                  </w:hyperlink>
                </w:p>
                <w:p w14:paraId="13CFCE1A" w14:textId="77777777" w:rsidR="00D11EF1" w:rsidRDefault="00D11EF1" w:rsidP="00D11EF1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72496295" w14:textId="4D3560CF" w:rsidR="00D11EF1" w:rsidRPr="00D11EF1" w:rsidRDefault="00D11EF1" w:rsidP="00D11EF1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9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EU notifies WTO of non-renewal of approval of buprofezin</w:t>
                    </w:r>
                  </w:hyperlink>
                </w:p>
                <w:p w14:paraId="0457DCCD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WTO of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non-renewal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buprofezin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9BE62E3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According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(EFSA),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buprofezin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criteria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 be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identified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 as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an 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endocrine</w:t>
                  </w:r>
                  <w:proofErr w:type="spellEnd"/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disruptor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thyroid</w:t>
                  </w:r>
                  <w:proofErr w:type="spellEnd"/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 (T)-</w:t>
                  </w:r>
                  <w:proofErr w:type="spellStart"/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modality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humans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mammals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not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demonstrated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exposure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humans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target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organisms</w:t>
                  </w:r>
                  <w:proofErr w:type="spellEnd"/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</w:t>
                  </w:r>
                  <w:proofErr w:type="spellEnd"/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  a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protection</w:t>
                  </w:r>
                  <w:proofErr w:type="spellEnd"/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negligible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realistic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conditions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7E48411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October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20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days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4AB65B3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withdraw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authorisations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containing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buprofezin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6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months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Likewise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period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granted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expire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12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months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</w:p>
                <w:p w14:paraId="6E6988F3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1B7B51B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30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https://eping.wto.org/en/Search/Index?viewData=%20G/TBT/N/EU/1218</w:t>
                    </w:r>
                  </w:hyperlink>
                </w:p>
                <w:p w14:paraId="5A83592D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7C010A68" w14:textId="77777777" w:rsidR="00D11EF1" w:rsidRPr="00D11EF1" w:rsidRDefault="00D11EF1" w:rsidP="00D11EF1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1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Official Journal: EU – US trade Regulation reducing tariffs for US goods published in the Official Journal, to enter into force on 1 July</w:t>
                    </w:r>
                  </w:hyperlink>
                </w:p>
                <w:p w14:paraId="4EF929AC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On 30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(EU) 2026/1455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Council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25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2026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adjustment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customs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duties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imports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United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America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opening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imports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United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America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Journal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EU.</w:t>
                  </w:r>
                </w:p>
                <w:p w14:paraId="47C088EB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More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: </w:t>
                  </w:r>
                  <w:hyperlink r:id="rId32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https://eur-lex.europa.eu/eli/reg/2026/1455/oj</w:t>
                    </w:r>
                  </w:hyperlink>
                </w:p>
                <w:p w14:paraId="40518C9E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addition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lobster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also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Journal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30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"https://eur-lex.europa.eu/legal-content/EN/TXT/?uri=OJ:L_202601461"</w:instrTex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(EU) 2026/1461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Parliament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Council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of 25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2026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non-application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customs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duties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imports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enter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1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2026.</w:t>
                  </w:r>
                </w:p>
                <w:p w14:paraId="138C5CCC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(EU) 2026/1455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which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grants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preferences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US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industrial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500,000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Metric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Tonne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rate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nuts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cease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apply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2029.</w:t>
                  </w:r>
                </w:p>
                <w:p w14:paraId="0AD0B7F5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concerning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lobster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imports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apply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retroactively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1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August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2025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expire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31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2030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unless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further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taken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042DEE2D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Product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scope</w:t>
                  </w:r>
                  <w:proofErr w:type="spellEnd"/>
                </w:p>
                <w:p w14:paraId="7116E25A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scope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(EU) 2026/1455</w: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can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found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here: </w:t>
                  </w:r>
                  <w:hyperlink r:id="rId33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https://frucom.eu/circulars/5543</w:t>
                    </w:r>
                  </w:hyperlink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:eu-us-trade-eu-proposal-on-tariff-reductions-to-implement-eu-us-deal-trqs-for-processed-nuts-shelled-in-shell-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nuts,-processed-seafood-fish-full-liberalisation-for-dried-processed-fruit-veg.html</w:t>
                  </w:r>
                  <w:proofErr w:type="gramEnd"/>
                </w:p>
                <w:p w14:paraId="15F684C5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scope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unchanged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2025.</w:t>
                  </w:r>
                </w:p>
                <w:p w14:paraId="76E59BC9" w14:textId="77777777" w:rsidR="00D11EF1" w:rsidRPr="00D11EF1" w:rsidRDefault="00D11EF1" w:rsidP="00D11EF1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4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EU-US trade: Frequently asked questions about trade under the regulation to liberalise market access for US agricultural and industrial goods (Turnberry Agreement)</w:t>
                    </w:r>
                  </w:hyperlink>
                </w:p>
                <w:p w14:paraId="619676E9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Frequently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Asked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Questions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(FAQ)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document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covers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questions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EU–US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2026/1455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25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adjustment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United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America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opening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United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America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answers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at 2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</w:t>
                  </w:r>
                </w:p>
                <w:p w14:paraId="645CC373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encouraged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further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qeustions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they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Secretariat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5C307D0" w14:textId="77777777" w:rsidR="00D11EF1" w:rsidRPr="00D11EF1" w:rsidRDefault="00D11EF1" w:rsidP="00D11EF1">
                  <w:pPr>
                    <w:spacing w:after="12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360FAC20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1. 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liberalisation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of market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access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US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industrial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been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fully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adopted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further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approval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required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?</w:t>
                  </w:r>
                </w:p>
                <w:p w14:paraId="124B213E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Answer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6747044A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fully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final. No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further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procedures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additional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governing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body 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veto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challenge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A7C70A3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pict w14:anchorId="68C1F4E4">
                      <v:rect id="_x0000_i1025" style="width:0;height:1.5pt" o:hralign="center" o:hrstd="t" o:hrnoshade="t" o:hr="t" fillcolor="#2d2d38" stroked="f"/>
                    </w:pict>
                  </w:r>
                </w:p>
                <w:p w14:paraId="02F9EA52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2. 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eligibility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determined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import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date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?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example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already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in transit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eligible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?</w:t>
                  </w:r>
                </w:p>
                <w:p w14:paraId="489EFBBE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Answer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162C8B75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Eligibility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determined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clear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5EED368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Consequently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shipped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United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before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transit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held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warehousing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qualify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volume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remains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time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clearance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63116B1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market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access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fully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liberalised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Annex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e.g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 CN 0806 20 30 -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CN 0813 20 00 –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prunes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except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not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volume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limit.</w:t>
                  </w:r>
                </w:p>
                <w:p w14:paraId="5440834E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pict w14:anchorId="73DCAFB5">
                      <v:rect id="_x0000_i1026" style="width:0;height:1.5pt" o:hralign="center" o:hrstd="t" o:hrnoshade="t" o:hr="t" fillcolor="#2d2d38" stroked="f"/>
                    </w:pict>
                  </w:r>
                </w:p>
                <w:p w14:paraId="49FA1CAE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3. 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provisions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on Rules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?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other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provisions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development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?</w:t>
                  </w:r>
                </w:p>
                <w:p w14:paraId="1B2B14C8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Answer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5EC900C4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EU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particular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non-preferential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laid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down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Title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II,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Chapter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No 952/2013,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6 on Rules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02F3D50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Additionally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applying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“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direct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transport”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Turnberry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has 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done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passed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30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2015/2447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procedural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proof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non-preferential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F50054D" w14:textId="26227A50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non-preferential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2026/1455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Turnberry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proof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should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reinforced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mitigate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risk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circumvention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purpose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proof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declarant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should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evidence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transported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directly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declared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they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shipped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through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third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they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alteration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they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exported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BE80948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must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transported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directly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United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they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transhipped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they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must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surveillance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FB8CC5F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 </w:t>
                  </w:r>
                  <w:hyperlink r:id="rId35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https://eur-lex.europa.eu/eli/reg_impl/2026/1422/oj</w:t>
                    </w:r>
                  </w:hyperlink>
                </w:p>
                <w:p w14:paraId="4F8541B6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about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direct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transport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non-manipulation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rule: </w:t>
                  </w:r>
                  <w:hyperlink r:id="rId36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https://trade.ec.europa.eu/access-to-markets/en/content/direct-transport-or-non-manipulation-or-non-alteration-rules</w:t>
                    </w:r>
                  </w:hyperlink>
                </w:p>
                <w:p w14:paraId="4636BDDB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exchange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TAXUD, 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continues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exchange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negotiate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Turnberry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D1E5320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pict w14:anchorId="744DADA2">
                      <v:rect id="_x0000_i1027" style="width:0;height:1.5pt" o:hralign="center" o:hrstd="t" o:hrnoshade="t" o:hr="t" fillcolor="#2d2d38" stroked="f"/>
                    </w:pict>
                  </w:r>
                </w:p>
                <w:p w14:paraId="4F67C0ED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4. How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does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nut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of 500,000-tonnes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operate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? Is it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based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calendar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year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which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covered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conversion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between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in-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shell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kernel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volumes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?</w:t>
                  </w:r>
                </w:p>
                <w:p w14:paraId="5A6116D1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Answer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59B53E25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managed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“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first-come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first-served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”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approach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accordance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management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system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49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54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2015/2447.</w:t>
                  </w:r>
                </w:p>
                <w:p w14:paraId="191DF2B3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operate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annual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period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running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30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2027.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not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aligned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either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calendar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crop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/marketing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CF48E07" w14:textId="13BB11C0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covered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Question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6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CF96395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pict w14:anchorId="630B1BDB">
                      <v:rect id="_x0000_i1028" style="width:0;height:1.5pt" o:hralign="center" o:hrstd="t" o:hrnoshade="t" o:hr="t" fillcolor="#2d2d38" stroked="f"/>
                    </w:pict>
                  </w:r>
                </w:p>
                <w:p w14:paraId="466E1815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5. 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What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about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expiry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date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?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What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happen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?</w:t>
                  </w:r>
                </w:p>
                <w:p w14:paraId="089EA603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Answer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49538666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8,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2026/1455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scheduled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expire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31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2029.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Unless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it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extended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7)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replaced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similar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arrangement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United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United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revert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Favoured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(MFN)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457D192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pict w14:anchorId="3C389213">
                      <v:rect id="_x0000_i1029" style="width:0;height:1.5pt" o:hralign="center" o:hrstd="t" o:hrnoshade="t" o:hr="t" fillcolor="#2d2d38" stroked="f"/>
                    </w:pict>
                  </w:r>
                </w:p>
                <w:p w14:paraId="2544E991" w14:textId="77777777" w:rsidR="005500AD" w:rsidRDefault="005500AD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</w:pPr>
                </w:p>
                <w:p w14:paraId="580F91B3" w14:textId="5BB76259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lastRenderedPageBreak/>
                    <w:t>6. 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Which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covered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?</w:t>
                  </w:r>
                </w:p>
                <w:p w14:paraId="68555AB0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Answer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2D8509E6" w14:textId="77777777" w:rsidR="00D11EF1" w:rsidRPr="00D11EF1" w:rsidRDefault="00D11EF1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63D98EF9" w14:textId="77777777" w:rsidR="00D11EF1" w:rsidRPr="00D11EF1" w:rsidRDefault="00D11EF1" w:rsidP="006652C5">
                  <w:pPr>
                    <w:spacing w:after="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2C4EDF2B" w14:textId="77777777" w:rsidR="00D11EF1" w:rsidRPr="00D11EF1" w:rsidRDefault="00D11EF1" w:rsidP="006652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nuts</w:t>
                  </w:r>
                  <w:proofErr w:type="spellEnd"/>
                </w:p>
                <w:tbl>
                  <w:tblPr>
                    <w:tblW w:w="8889" w:type="dxa"/>
                    <w:tblInd w:w="13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8"/>
                    <w:gridCol w:w="1039"/>
                    <w:gridCol w:w="4831"/>
                    <w:gridCol w:w="882"/>
                    <w:gridCol w:w="1099"/>
                  </w:tblGrid>
                  <w:tr w:rsidR="00D11EF1" w:rsidRPr="009D7D9A" w14:paraId="08A2CF75" w14:textId="77777777" w:rsidTr="009D7D9A">
                    <w:trPr>
                      <w:trHeight w:val="39"/>
                    </w:trPr>
                    <w:tc>
                      <w:tcPr>
                        <w:tcW w:w="10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8D43FFF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Order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number</w:t>
                        </w:r>
                        <w:proofErr w:type="spellEnd"/>
                      </w:p>
                    </w:tc>
                    <w:tc>
                      <w:tcPr>
                        <w:tcW w:w="10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1A80F80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CN 2025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code</w:t>
                        </w:r>
                        <w:proofErr w:type="spellEnd"/>
                      </w:p>
                    </w:tc>
                    <w:tc>
                      <w:tcPr>
                        <w:tcW w:w="4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76770A1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Description</w:t>
                        </w:r>
                        <w:proofErr w:type="spellEnd"/>
                      </w:p>
                    </w:tc>
                    <w:tc>
                      <w:tcPr>
                        <w:tcW w:w="8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6587CC5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In-quota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rate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BB778D1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Quota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volume</w:t>
                        </w:r>
                        <w:proofErr w:type="spellEnd"/>
                      </w:p>
                    </w:tc>
                  </w:tr>
                  <w:tr w:rsidR="00D11EF1" w:rsidRPr="009D7D9A" w14:paraId="28407EA2" w14:textId="77777777" w:rsidTr="009D7D9A">
                    <w:trPr>
                      <w:trHeight w:val="39"/>
                    </w:trPr>
                    <w:tc>
                      <w:tcPr>
                        <w:tcW w:w="10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8FD73B3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09.9005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E4C7CB5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0802</w:t>
                        </w:r>
                      </w:p>
                    </w:tc>
                    <w:tc>
                      <w:tcPr>
                        <w:tcW w:w="4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7590E10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Other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nuts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fresh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dried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whether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not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shelled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peeled</w:t>
                        </w:r>
                        <w:proofErr w:type="spellEnd"/>
                      </w:p>
                    </w:tc>
                    <w:tc>
                      <w:tcPr>
                        <w:tcW w:w="88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E7D3B46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0 %</w:t>
                        </w:r>
                      </w:p>
                    </w:tc>
                    <w:tc>
                      <w:tcPr>
                        <w:tcW w:w="10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557E6DD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500 000 t</w:t>
                        </w:r>
                      </w:p>
                    </w:tc>
                  </w:tr>
                  <w:tr w:rsidR="00D11EF1" w:rsidRPr="009D7D9A" w14:paraId="219F11ED" w14:textId="77777777" w:rsidTr="009D7D9A">
                    <w:trPr>
                      <w:trHeight w:val="39"/>
                    </w:trPr>
                    <w:tc>
                      <w:tcPr>
                        <w:tcW w:w="1038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D46D83B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0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1E21EEF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2008 19</w:t>
                        </w:r>
                      </w:p>
                    </w:tc>
                    <w:tc>
                      <w:tcPr>
                        <w:tcW w:w="4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AC985F3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Nuts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and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other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seeds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including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mixtures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prepared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preserved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excluding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groundnuts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882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0248DED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09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5657DFD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6E7F81B8" w14:textId="77777777" w:rsidR="00D11EF1" w:rsidRPr="00D11EF1" w:rsidRDefault="00D11EF1" w:rsidP="006652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bulk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in-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shell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kernels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preserved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classified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codes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CA05AC5" w14:textId="77777777" w:rsidR="00D11EF1" w:rsidRPr="00D11EF1" w:rsidRDefault="00D11EF1" w:rsidP="006652C5">
                  <w:pPr>
                    <w:spacing w:after="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1EC6F2D6" w14:textId="77777777" w:rsidR="00D11EF1" w:rsidRPr="00D11EF1" w:rsidRDefault="00D11EF1" w:rsidP="006652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Alaska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pollock</w:t>
                  </w:r>
                  <w:proofErr w:type="spellEnd"/>
                </w:p>
                <w:tbl>
                  <w:tblPr>
                    <w:tblW w:w="8895" w:type="dxa"/>
                    <w:tblInd w:w="13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2"/>
                    <w:gridCol w:w="912"/>
                    <w:gridCol w:w="5104"/>
                    <w:gridCol w:w="850"/>
                    <w:gridCol w:w="957"/>
                  </w:tblGrid>
                  <w:tr w:rsidR="00D11EF1" w:rsidRPr="009D7D9A" w14:paraId="2D60DC41" w14:textId="77777777" w:rsidTr="009D7D9A">
                    <w:trPr>
                      <w:trHeight w:val="501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15EC938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Order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number</w:t>
                        </w:r>
                        <w:proofErr w:type="spellEnd"/>
                      </w:p>
                    </w:tc>
                    <w:tc>
                      <w:tcPr>
                        <w:tcW w:w="9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C5A3C24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CN 2025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code</w:t>
                        </w:r>
                        <w:proofErr w:type="spellEnd"/>
                      </w:p>
                    </w:tc>
                    <w:tc>
                      <w:tcPr>
                        <w:tcW w:w="5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CC1FFE6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Description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9831E0D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In-quota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rate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624D088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Quota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volume</w:t>
                        </w:r>
                        <w:proofErr w:type="spellEnd"/>
                      </w:p>
                    </w:tc>
                  </w:tr>
                  <w:tr w:rsidR="00D11EF1" w:rsidRPr="009D7D9A" w14:paraId="2E8B7489" w14:textId="77777777" w:rsidTr="009D7D9A">
                    <w:trPr>
                      <w:trHeight w:val="365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7EE8433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09.9008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4528986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0303 67</w:t>
                        </w:r>
                      </w:p>
                    </w:tc>
                    <w:tc>
                      <w:tcPr>
                        <w:tcW w:w="5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D7289DC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Alaska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pollock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Theragra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chalcogramma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E1F8EE4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0 %</w:t>
                        </w:r>
                      </w:p>
                    </w:tc>
                    <w:tc>
                      <w:tcPr>
                        <w:tcW w:w="95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BB9B617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340 000 t</w:t>
                        </w:r>
                      </w:p>
                    </w:tc>
                  </w:tr>
                  <w:tr w:rsidR="00D11EF1" w:rsidRPr="009D7D9A" w14:paraId="376F703A" w14:textId="77777777" w:rsidTr="009D7D9A">
                    <w:trPr>
                      <w:trHeight w:val="75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7027FFD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5F4ED0A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0304 75</w:t>
                        </w:r>
                      </w:p>
                    </w:tc>
                    <w:tc>
                      <w:tcPr>
                        <w:tcW w:w="5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0369A8F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fillets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of Alaska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pollock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Theragra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chalcogramma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9D43897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5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D8BCE20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D11EF1" w:rsidRPr="009D7D9A" w14:paraId="6140E359" w14:textId="77777777" w:rsidTr="009D7D9A">
                    <w:trPr>
                      <w:trHeight w:val="75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931294D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E0A4CB4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0304 94</w:t>
                        </w:r>
                      </w:p>
                    </w:tc>
                    <w:tc>
                      <w:tcPr>
                        <w:tcW w:w="51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C2D9E82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meat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whether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not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minced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of Alaska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pollock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Theragra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chalcogramma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excluding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fillets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D26CAA7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95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4393206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115EBF00" w14:textId="77777777" w:rsidR="00D11EF1" w:rsidRPr="00D11EF1" w:rsidRDefault="00D11EF1" w:rsidP="006652C5">
                  <w:pPr>
                    <w:spacing w:after="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7AD22B87" w14:textId="77777777" w:rsidR="00D11EF1" w:rsidRPr="00D11EF1" w:rsidRDefault="00D11EF1" w:rsidP="006652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squid</w:t>
                  </w:r>
                  <w:proofErr w:type="spellEnd"/>
                </w:p>
                <w:tbl>
                  <w:tblPr>
                    <w:tblW w:w="8929" w:type="dxa"/>
                    <w:tblInd w:w="13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4"/>
                    <w:gridCol w:w="1528"/>
                    <w:gridCol w:w="4074"/>
                    <w:gridCol w:w="1110"/>
                    <w:gridCol w:w="1223"/>
                  </w:tblGrid>
                  <w:tr w:rsidR="00D11EF1" w:rsidRPr="009D7D9A" w14:paraId="65B06D22" w14:textId="77777777" w:rsidTr="009D7D9A">
                    <w:trPr>
                      <w:trHeight w:val="330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BDCD3A6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Order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number</w:t>
                        </w:r>
                        <w:proofErr w:type="spellEnd"/>
                      </w:p>
                    </w:tc>
                    <w:tc>
                      <w:tcPr>
                        <w:tcW w:w="15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1B08004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CN 2025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code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B2BE4E8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Description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DF96EC0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In-quota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rate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51A86C2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Quota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volume</w:t>
                        </w:r>
                        <w:proofErr w:type="spellEnd"/>
                      </w:p>
                    </w:tc>
                  </w:tr>
                  <w:tr w:rsidR="00D11EF1" w:rsidRPr="009D7D9A" w14:paraId="65A86405" w14:textId="77777777" w:rsidTr="009D7D9A">
                    <w:trPr>
                      <w:trHeight w:val="323"/>
                    </w:trPr>
                    <w:tc>
                      <w:tcPr>
                        <w:tcW w:w="9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C579515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09.9009</w:t>
                        </w:r>
                      </w:p>
                    </w:tc>
                    <w:tc>
                      <w:tcPr>
                        <w:tcW w:w="15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6FF1768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0307 43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3319CEB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Cuttle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fish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and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squid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with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without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shell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15D9653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E5CB56A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5 000 t</w:t>
                        </w:r>
                      </w:p>
                    </w:tc>
                  </w:tr>
                </w:tbl>
                <w:p w14:paraId="0811FCB8" w14:textId="77777777" w:rsidR="00D11EF1" w:rsidRPr="00D11EF1" w:rsidRDefault="00D11EF1" w:rsidP="006652C5">
                  <w:pPr>
                    <w:spacing w:after="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3518DDB6" w14:textId="77777777" w:rsidR="00D11EF1" w:rsidRPr="00D11EF1" w:rsidRDefault="00D11EF1" w:rsidP="006652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unprocessed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salmon</w:t>
                  </w:r>
                  <w:proofErr w:type="spellEnd"/>
                </w:p>
                <w:tbl>
                  <w:tblPr>
                    <w:tblW w:w="0" w:type="auto"/>
                    <w:tblInd w:w="13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1418"/>
                    <w:gridCol w:w="3969"/>
                    <w:gridCol w:w="1134"/>
                    <w:gridCol w:w="1267"/>
                  </w:tblGrid>
                  <w:tr w:rsidR="00D11EF1" w:rsidRPr="009D7D9A" w14:paraId="3711299A" w14:textId="77777777" w:rsidTr="00355448"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5FE51CE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Order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number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89518A3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CN 2025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code</w:t>
                        </w:r>
                        <w:proofErr w:type="spellEnd"/>
                      </w:p>
                    </w:tc>
                    <w:tc>
                      <w:tcPr>
                        <w:tcW w:w="39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ADF0605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Description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8F6E1BC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In-quota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rate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23E9CC7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Quota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volume</w:t>
                        </w:r>
                        <w:proofErr w:type="spellEnd"/>
                      </w:p>
                    </w:tc>
                  </w:tr>
                  <w:tr w:rsidR="00D11EF1" w:rsidRPr="009D7D9A" w14:paraId="675669ED" w14:textId="77777777" w:rsidTr="00355448">
                    <w:tc>
                      <w:tcPr>
                        <w:tcW w:w="113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875D257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09.9010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B131278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0303 11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5B86EA5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sockeye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salmon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red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salmon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Oncorhynchus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nerka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F797CBD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0 %</w:t>
                        </w:r>
                      </w:p>
                    </w:tc>
                    <w:tc>
                      <w:tcPr>
                        <w:tcW w:w="12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2B365D4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20 000 t</w:t>
                        </w:r>
                      </w:p>
                    </w:tc>
                  </w:tr>
                  <w:tr w:rsidR="00D11EF1" w:rsidRPr="009D7D9A" w14:paraId="72644795" w14:textId="77777777" w:rsidTr="00355448">
                    <w:tc>
                      <w:tcPr>
                        <w:tcW w:w="1134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92AA94C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4ADC0A4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0303 12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8C4537B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pacific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salmon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excluding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sockeye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salmon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‘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red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salmon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’)</w:t>
                        </w: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EC371EC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6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AF63537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D11EF1" w:rsidRPr="009D7D9A" w14:paraId="483FB13A" w14:textId="77777777" w:rsidTr="00355448">
                    <w:tc>
                      <w:tcPr>
                        <w:tcW w:w="1134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C1B1FB6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79C30E8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0304 81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E0CF912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fillets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pacific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salmon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Oncorhynchus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nerka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Oncorhynchus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gorbuscha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Oncorhynchus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keta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Oncorhynchus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tschawytscha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Oncorhynchus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kisutch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Oncorhynchus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masou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and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Oncorhynchus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rhodurus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rgentin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salmon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Salmo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salar)</w:t>
                        </w:r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and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danube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salmon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Hucho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9D7D9A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hucho</w:t>
                        </w:r>
                        <w:proofErr w:type="spellEnd"/>
                        <w:r w:rsidRPr="009D7D9A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2BBD147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26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A584AF1" w14:textId="77777777" w:rsidR="00D11EF1" w:rsidRPr="009D7D9A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4E7EE851" w14:textId="77777777" w:rsidR="00D11EF1" w:rsidRPr="00D11EF1" w:rsidRDefault="00D11EF1" w:rsidP="00D11EF1">
                  <w:pPr>
                    <w:spacing w:after="12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75A35AFE" w14:textId="77777777" w:rsidR="00D11EF1" w:rsidRPr="00D11EF1" w:rsidRDefault="00D11EF1" w:rsidP="006652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processed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salmon</w:t>
                  </w:r>
                  <w:proofErr w:type="spellEnd"/>
                </w:p>
                <w:tbl>
                  <w:tblPr>
                    <w:tblW w:w="0" w:type="auto"/>
                    <w:tblInd w:w="13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1"/>
                    <w:gridCol w:w="1063"/>
                    <w:gridCol w:w="4661"/>
                    <w:gridCol w:w="978"/>
                    <w:gridCol w:w="1099"/>
                  </w:tblGrid>
                  <w:tr w:rsidR="00D11EF1" w:rsidRPr="006652C5" w14:paraId="6AE1B8AD" w14:textId="77777777" w:rsidTr="00D11EF1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6E6ADE0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Order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number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AA9178F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CN 2025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code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3F990BB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Description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832303A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In-quota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rate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870CFD4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Quota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volume</w:t>
                        </w:r>
                        <w:proofErr w:type="spellEnd"/>
                      </w:p>
                    </w:tc>
                  </w:tr>
                  <w:tr w:rsidR="00D11EF1" w:rsidRPr="006652C5" w14:paraId="267B41AD" w14:textId="77777777" w:rsidTr="00D11EF1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076BBAE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09.9011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60B05B7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1604 11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FE6E891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Prepared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preserved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salmon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whole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in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pieces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excluding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minced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874C72A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3094A7B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5 000 t</w:t>
                        </w:r>
                      </w:p>
                    </w:tc>
                  </w:tr>
                </w:tbl>
                <w:p w14:paraId="6BAE0E3B" w14:textId="77777777" w:rsidR="006652C5" w:rsidRDefault="006652C5" w:rsidP="00D11EF1">
                  <w:pPr>
                    <w:spacing w:after="120" w:line="240" w:lineRule="auto"/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</w:pPr>
                </w:p>
                <w:p w14:paraId="6DE5AE4C" w14:textId="235AC115" w:rsidR="00D11EF1" w:rsidRPr="00D11EF1" w:rsidRDefault="00D11EF1" w:rsidP="006652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lastRenderedPageBreak/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prepared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shrimps</w:t>
                  </w:r>
                  <w:proofErr w:type="spellEnd"/>
                </w:p>
                <w:tbl>
                  <w:tblPr>
                    <w:tblW w:w="0" w:type="auto"/>
                    <w:tblInd w:w="134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2"/>
                    <w:gridCol w:w="953"/>
                    <w:gridCol w:w="5004"/>
                    <w:gridCol w:w="894"/>
                    <w:gridCol w:w="1019"/>
                  </w:tblGrid>
                  <w:tr w:rsidR="00D11EF1" w:rsidRPr="006652C5" w14:paraId="7EB9C998" w14:textId="77777777" w:rsidTr="00D11EF1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F5C8EE0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Order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number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CE1E531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CN 2025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code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1225D05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Description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E5768F3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In-quota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rate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A620DD7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Quota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volume</w:t>
                        </w:r>
                        <w:proofErr w:type="spellEnd"/>
                      </w:p>
                    </w:tc>
                  </w:tr>
                  <w:tr w:rsidR="00D11EF1" w:rsidRPr="006652C5" w14:paraId="2120F71A" w14:textId="77777777" w:rsidTr="00D11EF1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3877B9EA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09.9012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4241CD9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1605 21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8739EAD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Shrimps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and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prawns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prepared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preserved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not in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airtight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containers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excluding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smoked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69B37A0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BB1DABA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5 000 t</w:t>
                        </w:r>
                      </w:p>
                    </w:tc>
                  </w:tr>
                  <w:tr w:rsidR="00D11EF1" w:rsidRPr="006652C5" w14:paraId="69E7B093" w14:textId="77777777" w:rsidTr="00D11EF1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8B458B8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9BC4E22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1605 29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80E262D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Shrimps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and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prawns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prepared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preserved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in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airtight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containers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excluding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smoked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1DB4C2F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5069DFD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786DE40C" w14:textId="77777777" w:rsidR="00D11EF1" w:rsidRPr="00D11EF1" w:rsidRDefault="00D11EF1" w:rsidP="006652C5">
                  <w:pPr>
                    <w:spacing w:after="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2AD288BC" w14:textId="77777777" w:rsidR="00D11EF1" w:rsidRPr="00D11EF1" w:rsidRDefault="00D11EF1" w:rsidP="006652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hake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i/>
                      <w:iCs/>
                      <w:color w:val="2D2D38"/>
                      <w:kern w:val="0"/>
                      <w14:ligatures w14:val="none"/>
                    </w:rPr>
                    <w:t>dogfish</w:t>
                  </w:r>
                  <w:proofErr w:type="spellEnd"/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7"/>
                    <w:gridCol w:w="864"/>
                    <w:gridCol w:w="5412"/>
                    <w:gridCol w:w="827"/>
                    <w:gridCol w:w="956"/>
                  </w:tblGrid>
                  <w:tr w:rsidR="00D11EF1" w:rsidRPr="006652C5" w14:paraId="0C49482D" w14:textId="77777777" w:rsidTr="00D21B7F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9D46F2F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Order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number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5BA4494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CN 2025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code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5E5A7D3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Description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6641D1F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In-quota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rate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9BE156F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Quota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volume</w:t>
                        </w:r>
                        <w:proofErr w:type="spellEnd"/>
                      </w:p>
                    </w:tc>
                  </w:tr>
                  <w:tr w:rsidR="00D11EF1" w:rsidRPr="006652C5" w14:paraId="26681CEA" w14:textId="77777777" w:rsidTr="00D21B7F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2629BC5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09.9013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BFEC1F6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0303 81 15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763DBB4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piked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dogfish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Squalus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acanthias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and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catsharks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Scyliorhinus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spp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.)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CF039FF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6EDA88E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20 000 t</w:t>
                        </w:r>
                      </w:p>
                    </w:tc>
                  </w:tr>
                  <w:tr w:rsidR="00D11EF1" w:rsidRPr="006652C5" w14:paraId="63304687" w14:textId="77777777" w:rsidTr="00D21B7F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32A01DF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D9678B6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0304 74 19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10A1E0DF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fillets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of hake (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Merluccius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spp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.) (</w:t>
                        </w:r>
                        <w:proofErr w:type="spellStart"/>
                        <w:proofErr w:type="gram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excluding</w:t>
                        </w:r>
                        <w:proofErr w:type="spellEnd"/>
                        <w:proofErr w:type="gram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cape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hake,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deepwater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hake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and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rgentine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hake)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D3C9411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8092DD7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D11EF1" w:rsidRPr="006652C5" w14:paraId="70C74ECF" w14:textId="77777777" w:rsidTr="00D21B7F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4E0E9670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0AE2806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0304 88 11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54421FC8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fillets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of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piked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dogfish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Squalus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acanthias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and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catsharks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Scyliorhinus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spp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.)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7CA1EF1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7011AA83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D11EF1" w:rsidRPr="006652C5" w14:paraId="7D2CA618" w14:textId="77777777" w:rsidTr="00D21B7F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292758B5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582D4D2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0304 96 10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72B578D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Frozen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meat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whether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or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not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minced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, of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picked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dogfish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Squalus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acanthias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)</w:t>
                        </w:r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and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catsharks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(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i/>
                            <w:iCs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Scyliorhinus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  <w:proofErr w:type="spellStart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spp</w:t>
                        </w:r>
                        <w:proofErr w:type="spellEnd"/>
                        <w:r w:rsidRPr="006652C5"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  <w:t>.)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04CA9F35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14:paraId="6C4A65B4" w14:textId="77777777" w:rsidR="00D11EF1" w:rsidRPr="006652C5" w:rsidRDefault="00D11EF1" w:rsidP="006652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D2D38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34ECE2BA" w14:textId="77777777" w:rsidR="00D11EF1" w:rsidRPr="00D11EF1" w:rsidRDefault="00D11EF1" w:rsidP="00D11EF1">
                  <w:pPr>
                    <w:spacing w:after="12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7EC2C4B8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pict w14:anchorId="6148C3DC">
                      <v:rect id="_x0000_i1030" style="width:0;height:1.5pt" o:hralign="center" o:hrstd="t" o:hrnoshade="t" o:hr="t" fillcolor="#2d2d38" stroked="f"/>
                    </w:pict>
                  </w:r>
                </w:p>
                <w:p w14:paraId="1101CE2B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7. 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registration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application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prior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approval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required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access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?</w:t>
                  </w:r>
                </w:p>
                <w:p w14:paraId="0D4EFCE6" w14:textId="2537BEA0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Answer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2A48BCA7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prior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registration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qualify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37A15E1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pict w14:anchorId="3F8EAA69">
                      <v:rect id="_x0000_i1031" style="width:0;height:1.5pt" o:hralign="center" o:hrstd="t" o:hrnoshade="t" o:hr="t" fillcolor="#2d2d38" stroked="f"/>
                    </w:pict>
                  </w:r>
                </w:p>
                <w:p w14:paraId="3DA62FF5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8.</w: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Can it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confirmed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advance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whether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shipment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qualify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before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shipment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before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entering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into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sales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contract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?</w:t>
                  </w:r>
                </w:p>
                <w:p w14:paraId="2B8A8DF7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Answer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7D750CE6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No.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not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possible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determine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advance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particular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shipment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Eligibility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depends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remaining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volume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time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released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free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circulation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E7CE166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pict w14:anchorId="5F2C4FAA">
                      <v:rect id="_x0000_i1032" style="width:0;height:1.5pt" o:hralign="center" o:hrstd="t" o:hrnoshade="t" o:hr="t" fillcolor="#2d2d38" stroked="f"/>
                    </w:pict>
                  </w:r>
                </w:p>
                <w:p w14:paraId="67DFB3AF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9. 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way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monitor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utilisation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?</w:t>
                  </w:r>
                </w:p>
                <w:p w14:paraId="0BFD322B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Answer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0B7A5D30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Although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not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time,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Commission’s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Directorate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-General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Taxation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(DG TAXUD)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maintains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online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utilisation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055AB70" w14:textId="6698C030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09.9005 </w:t>
                  </w:r>
                  <w:hyperlink r:id="rId37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https://ec.europa.eu/taxation_customs/dds2/taric/quota_tariff_details.jsp?Lang=en&amp;StartDate=2026-07-01&amp;Code=099005</w:t>
                    </w:r>
                  </w:hyperlink>
                </w:p>
                <w:p w14:paraId="219EDFF3" w14:textId="0D11D6E5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their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2026/1455 can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monitored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here: </w:t>
                  </w:r>
                  <w:hyperlink r:id="rId38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https://ec.europa.eu/taxation_customs/dds2/taric/quota_consultation.jsp?Origin</w:t>
                    </w:r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lastRenderedPageBreak/>
                      <w:t>=US&amp;Status=&amp;Year=2026&amp;Size=20&amp;Expand=true&amp;Lang=en&amp;Critical=&amp;Code=&amp;MaxSize=1000&amp;Offset=20</w:t>
                    </w:r>
                  </w:hyperlink>
                </w:p>
                <w:p w14:paraId="67023548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designated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critical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because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they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established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"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critical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"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administration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guarantee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time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free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circulation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AC2FA59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pict w14:anchorId="41F91E93">
                      <v:rect id="_x0000_i1033" style="width:0;height:1.5pt" o:hralign="center" o:hrstd="t" o:hrnoshade="t" o:hr="t" fillcolor="#2d2d38" stroked="f"/>
                    </w:pict>
                  </w:r>
                </w:p>
                <w:p w14:paraId="050B1774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10. 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Frequently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Asked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Questions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FAQs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guidance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exporters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importers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?</w:t>
                  </w:r>
                </w:p>
                <w:p w14:paraId="158F7EEE" w14:textId="77777777" w:rsidR="00D11EF1" w:rsidRPr="00D11EF1" w:rsidRDefault="00D11EF1" w:rsidP="00D21B7F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Answer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0D7BAFAD" w14:textId="5FC13578" w:rsidR="00D21B7F" w:rsidRPr="005500AD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At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(2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FAQ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guidance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document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questions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exporters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C03A00C" w14:textId="006DC06C" w:rsidR="00D11EF1" w:rsidRPr="00D11EF1" w:rsidRDefault="00D11EF1" w:rsidP="00D21B7F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9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Official Journal/US trade: EU revises Regulation on Rules of Origin to add obligation on direct transport (concerns EU-US Turnberry trade agreement)</w:t>
                    </w:r>
                  </w:hyperlink>
                </w:p>
                <w:p w14:paraId="021FB56B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30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(EU) 2026/1422 of 25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2026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amending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(EU) 2015/2447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regards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procedural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rules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concerning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proof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non-preferential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Journal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EU.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entered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1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2026.</w:t>
                  </w:r>
                </w:p>
                <w:p w14:paraId="157F812C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key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amendments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made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2026/1422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concerns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non-preferential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rules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application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(EU) 2026/1455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Council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(EU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Turnberry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trade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).</w:t>
                  </w:r>
                </w:p>
                <w:p w14:paraId="578B2A69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2026/1422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provides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proof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should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reinforced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mitigate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risk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circumvention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purpose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part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proof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declarant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should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provide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evidence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goods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transported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directly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declared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country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they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shipped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through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third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country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they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subject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alteration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after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they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exported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country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origin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10E6DC2F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More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: </w:t>
                  </w:r>
                  <w:hyperlink r:id="rId40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https://eur-lex.europa.eu/eli/reg_impl/2026/1422/oj</w:t>
                    </w:r>
                  </w:hyperlink>
                </w:p>
                <w:p w14:paraId="66A2D36B" w14:textId="77777777" w:rsidR="005500AD" w:rsidRDefault="005500AD" w:rsidP="005500AD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38F4579C" w14:textId="122D159D" w:rsidR="00D11EF1" w:rsidRPr="00D11EF1" w:rsidRDefault="00D11EF1" w:rsidP="005500AD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41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 Forced Labour Prohibition Regulation – Release of guidelines on Implementation and Database</w:t>
                    </w:r>
                  </w:hyperlink>
                </w:p>
                <w:p w14:paraId="10D1DEE1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28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released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guidelines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hosted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Single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Portal.</w:t>
                  </w:r>
                </w:p>
                <w:p w14:paraId="5E602418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(EUFLR)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14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2027,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enforcement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9559C10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portal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5450E881" w14:textId="77777777" w:rsidR="00D11EF1" w:rsidRPr="00D11EF1" w:rsidRDefault="00D11EF1" w:rsidP="005A3F89">
                  <w:pPr>
                    <w:numPr>
                      <w:ilvl w:val="2"/>
                      <w:numId w:val="13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42" w:history="1"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About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Forced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Labour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Regulation</w:t>
                    </w:r>
                    <w:proofErr w:type="spellEnd"/>
                  </w:hyperlink>
                </w:p>
                <w:p w14:paraId="3EF47CC6" w14:textId="77777777" w:rsidR="00D11EF1" w:rsidRPr="00D11EF1" w:rsidRDefault="00D11EF1" w:rsidP="005A3F89">
                  <w:pPr>
                    <w:numPr>
                      <w:ilvl w:val="2"/>
                      <w:numId w:val="14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43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Product risk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assessment</w:t>
                    </w:r>
                    <w:proofErr w:type="spellEnd"/>
                  </w:hyperlink>
                </w:p>
                <w:p w14:paraId="44637E96" w14:textId="77777777" w:rsidR="00D11EF1" w:rsidRPr="00D11EF1" w:rsidRDefault="00D11EF1" w:rsidP="005A3F89">
                  <w:pPr>
                    <w:numPr>
                      <w:ilvl w:val="2"/>
                      <w:numId w:val="15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44" w:history="1"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Reporting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Forced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Labour</w:t>
                    </w:r>
                    <w:proofErr w:type="spellEnd"/>
                  </w:hyperlink>
                </w:p>
                <w:p w14:paraId="37FC2559" w14:textId="77777777" w:rsidR="00D11EF1" w:rsidRPr="00D11EF1" w:rsidRDefault="00D11EF1" w:rsidP="005A3F89">
                  <w:pPr>
                    <w:numPr>
                      <w:ilvl w:val="2"/>
                      <w:numId w:val="16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45" w:history="1"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Contacts</w:t>
                    </w:r>
                    <w:proofErr w:type="spellEnd"/>
                  </w:hyperlink>
                </w:p>
                <w:p w14:paraId="5F318D8A" w14:textId="77777777" w:rsidR="00D11EF1" w:rsidRPr="00D11EF1" w:rsidRDefault="00D11EF1" w:rsidP="005A3F89">
                  <w:pPr>
                    <w:numPr>
                      <w:ilvl w:val="2"/>
                      <w:numId w:val="17"/>
                    </w:numPr>
                    <w:tabs>
                      <w:tab w:val="clear" w:pos="2160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46" w:history="1"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Other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useful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resources</w:t>
                    </w:r>
                    <w:proofErr w:type="spellEnd"/>
                  </w:hyperlink>
                </w:p>
                <w:p w14:paraId="0B0FC88B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guidelines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here: </w:t>
                  </w:r>
                  <w:hyperlink r:id="rId47" w:history="1">
                    <w:r w:rsidRPr="00D11EF1">
                      <w:rPr>
                        <w:rFonts w:ascii="Arial" w:eastAsia="Times New Roman" w:hAnsi="Arial" w:cs="Arial"/>
                        <w:color w:val="2D2D38"/>
                        <w:kern w:val="0"/>
                        <w:bdr w:val="none" w:sz="0" w:space="0" w:color="auto" w:frame="1"/>
                        <w14:ligatures w14:val="none"/>
                      </w:rPr>
                      <w:t>https://webgate.ec.europa.eu/circabc-ewpp/d/d/workspace/SpacesStore/3b159733-6cdf-4f9e-8b30-80580c0679d8/download</w:t>
                    </w:r>
                  </w:hyperlink>
                </w:p>
                <w:p w14:paraId="778D3510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Additionally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events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EUFLR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2026,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specific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focus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interest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7F39AC55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 </w:t>
                  </w: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14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September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2026, 14:30–16: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30</w: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"https://ecconf.webex.com/weblink/register/re17eeca3bbbc7b605c5d34f156085651"</w:instrTex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challenge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action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: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get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ready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FLR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implementation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–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Launch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event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br/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General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introduction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Commission's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preparedness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package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2952D17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 </w:t>
                  </w: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16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September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2026, 14:30–16: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30</w: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"https://ecconf.webex.com/weblink/register/rc9ca74e513cab73382f0826ea46f164a"</w:instrTex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challenge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action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: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get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ready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FLR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implementation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–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SMEs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focus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br/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Practical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guidance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support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tools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FLR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FEFC112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 </w:t>
                  </w: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17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November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2026, 14:30–16: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30</w: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"https://ecconf.webex.com/weblink/register/r63c5ae801de82e4ad690857eb09320b7"</w:instrTex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challenge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action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: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get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ready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FLR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implementation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–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Agri-food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sector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focus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br/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sector-specific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risks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practical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compliance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agri-food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businesses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BCE90B9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 </w:t>
                  </w:r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24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November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2026, 14:30–16: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30</w: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-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"https://ecconf.webex.com/weblink/register/r83931e3fcf8081b8ed260bd8037a8e10"</w:instrTex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challenge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action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: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get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ready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FLR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implementation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–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Fisheries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focus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br/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Sector-specific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guidance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identifying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risks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fisheries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BA4CFA4" w14:textId="77777777" w:rsidR="005500AD" w:rsidRDefault="005500AD" w:rsidP="005500AD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2A051115" w14:textId="291D1469" w:rsidR="00D11EF1" w:rsidRPr="00D11EF1" w:rsidRDefault="00D11EF1" w:rsidP="005500AD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48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European Commission publishes updated Questions and Answers document and Common understanding on old stock situations under the Directive on Empowering Consumers for the Green Transition</w:t>
                    </w:r>
                  </w:hyperlink>
                </w:p>
                <w:p w14:paraId="1F6D1FA8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Tuesday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30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June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understanding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stock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situations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Directive (EU) 2024/825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Empowering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Consumers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Green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Transition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also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updated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Questions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Answers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ECGT Directive.</w:t>
                  </w:r>
                </w:p>
                <w:p w14:paraId="38643F62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understanding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been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developed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Consumer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Protection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Cooperation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(CPC) Network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support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coherent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approach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treatment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such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stock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situations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While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document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does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constitute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 formal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position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CPC network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legally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binding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interpretation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ECGT Directive, it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sets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out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non-exhaustive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set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principles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intended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provide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pragmatic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approach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stock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situations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78E053C9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Accordingly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competent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authorities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expected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consider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approach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when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exercising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their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enforcement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powers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view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supporting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consistent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application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ECGT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rules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across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understanding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remains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without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prejudice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law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powers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priorities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competent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authorities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possibility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competent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authorities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courts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taking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specific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50FB4745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lastRenderedPageBreak/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understanding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concerns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enforcement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treatment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stock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situations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affected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by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ECGT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rules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particular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where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environmental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claims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sustainability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labels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appear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:</w:t>
                  </w:r>
                </w:p>
                <w:p w14:paraId="52EA08A4" w14:textId="77777777" w:rsidR="00D11EF1" w:rsidRPr="00D11EF1" w:rsidRDefault="00D11EF1" w:rsidP="005500AD">
                  <w:pPr>
                    <w:spacing w:after="120" w:line="240" w:lineRule="auto"/>
                    <w:ind w:left="284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• 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packaging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product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itself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775A6EF7" w14:textId="77777777" w:rsidR="00D11EF1" w:rsidRPr="00D11EF1" w:rsidRDefault="00D11EF1" w:rsidP="005500AD">
                  <w:pPr>
                    <w:spacing w:after="120" w:line="240" w:lineRule="auto"/>
                    <w:ind w:left="284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•  online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digital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interfaces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635FEF71" w14:textId="77777777" w:rsidR="00D11EF1" w:rsidRPr="00D11EF1" w:rsidRDefault="00D11EF1" w:rsidP="005500AD">
                  <w:pPr>
                    <w:spacing w:after="120" w:line="240" w:lineRule="auto"/>
                    <w:ind w:left="284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• 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advertising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commercial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communications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linked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product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trader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7271A9AD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had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until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27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transpose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Directive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Directive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27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September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</w:t>
                  </w:r>
                </w:p>
                <w:p w14:paraId="0D8733B5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understanding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stock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situations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can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found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here: </w:t>
                  </w:r>
                  <w:hyperlink r:id="rId49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https://commission.europa.eu/document/264d8c70-2f9a-4955-8e7b-154d55a9b684_en</w:t>
                    </w:r>
                  </w:hyperlink>
                </w:p>
                <w:p w14:paraId="16D762ED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Questions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Answers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document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can be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found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here: </w:t>
                  </w:r>
                  <w:hyperlink r:id="rId50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https://commission.europa.eu/document/download/3c257883-bb2a-4dd9-a6dc-501d587bb34f_en?filename=ECGT%20Directive%20FAQ_update%20with%20CPC%20Common%20Understanding.pdf</w:t>
                    </w:r>
                  </w:hyperlink>
                </w:p>
                <w:p w14:paraId="044CD804" w14:textId="77777777" w:rsidR="005500AD" w:rsidRDefault="005500AD" w:rsidP="005500AD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3374EF84" w14:textId="443A1BE4" w:rsidR="00D11EF1" w:rsidRPr="00D11EF1" w:rsidRDefault="00D11EF1" w:rsidP="005500AD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51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RASFF NOTIFICATION: 2026/27 (29/06/</w:t>
                    </w:r>
                    <w:proofErr w:type="gramStart"/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05/07/2026)</w:t>
                    </w:r>
                  </w:hyperlink>
                </w:p>
                <w:p w14:paraId="28156E46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compiling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RASFF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week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2026/27 (29/06/</w:t>
                  </w:r>
                  <w:proofErr w:type="gram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2026 -</w:t>
                  </w:r>
                  <w:proofErr w:type="gram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05/07/2026).</w:t>
                  </w:r>
                </w:p>
                <w:p w14:paraId="59344CAB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Information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RASFF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SANTE’s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online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</w:p>
                <w:p w14:paraId="466E22C6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52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FRUCOMRASF</w:t>
                    </w:r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F2026_Week27</w:t>
                    </w:r>
                  </w:hyperlink>
                </w:p>
                <w:p w14:paraId="2DF4FACC" w14:textId="77777777" w:rsidR="005500AD" w:rsidRDefault="005500AD" w:rsidP="005500AD">
                  <w:pPr>
                    <w:spacing w:after="120" w:line="240" w:lineRule="auto"/>
                    <w:outlineLvl w:val="1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420D2453" w14:textId="1307D14C" w:rsidR="00D11EF1" w:rsidRPr="005500AD" w:rsidRDefault="00D11EF1" w:rsidP="005500AD">
                  <w:pPr>
                    <w:spacing w:after="120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5500AD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DRIED FRUIT &amp; NUTS</w:t>
                  </w:r>
                </w:p>
                <w:p w14:paraId="0D376C15" w14:textId="77777777" w:rsidR="00D11EF1" w:rsidRPr="00D11EF1" w:rsidRDefault="00D11EF1" w:rsidP="005500AD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53" w:history="1"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Additives: FRUCOM draft letter on SO</w:t>
                    </w:r>
                    <w:proofErr w:type="gramStart"/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2 -</w:t>
                    </w:r>
                    <w:proofErr w:type="gramEnd"/>
                    <w:r w:rsidRPr="00D11EF1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For your feedback by 17 July</w:t>
                    </w:r>
                  </w:hyperlink>
                </w:p>
                <w:p w14:paraId="223A12A2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has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developed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letter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feedback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workable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balancing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technological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constraints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realities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8E9A2C0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EFSA's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dietary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exposure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sulfur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dioxide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–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sulfites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 220–228),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analysed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impact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two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 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further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welcomed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SANTE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presentation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topics: </w:t>
                  </w:r>
                  <w:hyperlink r:id="rId54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https://www.frucom.eu/circulars/5917:frucom-dried-fruit-and-nuts-working-group-21-april-meeting-notes-and-presentations.html</w:t>
                    </w:r>
                  </w:hyperlink>
                </w:p>
                <w:p w14:paraId="261567AF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conclusions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recommendations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FRUCOM's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letter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1E376670" w14:textId="77777777" w:rsidR="00D11EF1" w:rsidRPr="00D11EF1" w:rsidRDefault="00D11EF1" w:rsidP="005A3F89">
                  <w:pPr>
                    <w:numPr>
                      <w:ilvl w:val="2"/>
                      <w:numId w:val="18"/>
                    </w:numPr>
                    <w:tabs>
                      <w:tab w:val="clear" w:pos="2160"/>
                      <w:tab w:val="num" w:pos="1985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apricots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golden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similar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high</w: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noBreakHyphen/>
                    <w:t>moisture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light</w: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noBreakHyphen/>
                    <w:t>coloured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sulphites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mould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colour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flavour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texture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alternative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combined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effect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profile.</w:t>
                  </w:r>
                </w:p>
                <w:p w14:paraId="4E61A390" w14:textId="77777777" w:rsidR="00D11EF1" w:rsidRPr="00D11EF1" w:rsidRDefault="00D11EF1" w:rsidP="005A3F89">
                  <w:pPr>
                    <w:numPr>
                      <w:ilvl w:val="2"/>
                      <w:numId w:val="19"/>
                    </w:numPr>
                    <w:tabs>
                      <w:tab w:val="clear" w:pos="2160"/>
                      <w:tab w:val="num" w:pos="1985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EFSA’s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2025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shows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both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reduced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MPLs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Scenarios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lower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dietary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exposure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but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difference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exposure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limited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realistic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considered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2CCB317" w14:textId="77777777" w:rsidR="00D11EF1" w:rsidRPr="00D11EF1" w:rsidRDefault="00D11EF1" w:rsidP="005A3F89">
                  <w:pPr>
                    <w:numPr>
                      <w:ilvl w:val="2"/>
                      <w:numId w:val="20"/>
                    </w:numPr>
                    <w:tabs>
                      <w:tab w:val="clear" w:pos="2160"/>
                      <w:tab w:val="num" w:pos="1985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apricots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Scenario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MPLs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(2,000 mg/kg, 1,500 mg/kg,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500 – 1.000 mg/kg,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respectively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already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significant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pressure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producers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while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delivering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exposure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reduction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1FF42C9" w14:textId="77777777" w:rsidR="00D11EF1" w:rsidRPr="00D11EF1" w:rsidRDefault="00D11EF1" w:rsidP="005A3F89">
                  <w:pPr>
                    <w:numPr>
                      <w:ilvl w:val="2"/>
                      <w:numId w:val="21"/>
                    </w:numPr>
                    <w:tabs>
                      <w:tab w:val="clear" w:pos="2160"/>
                      <w:tab w:val="num" w:pos="1985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Scenario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 (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e.g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1,500 mg/kg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apricots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150 mg/kg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would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gains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margin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exposure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(EFSA Technical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Update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Dietary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Exposure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SO2). At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time, it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would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create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serious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compliance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noBreakHyphen/>
                    <w:t>waste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problems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shift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flows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away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EU.</w:t>
                  </w:r>
                </w:p>
                <w:p w14:paraId="48B1F328" w14:textId="77777777" w:rsidR="00D11EF1" w:rsidRPr="00D11EF1" w:rsidRDefault="00D11EF1" w:rsidP="005A3F89">
                  <w:pPr>
                    <w:numPr>
                      <w:ilvl w:val="2"/>
                      <w:numId w:val="2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absence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toxicological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findings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since 2022,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would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higher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reduced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affected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categories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Combined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manufacturing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practice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existing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FRUCOM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believes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proportionate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approach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DCA3313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letter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attached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provide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your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feedback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until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Friday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, 17 </w:t>
                  </w:r>
                  <w:proofErr w:type="spellStart"/>
                  <w:r w:rsidRPr="00D11EF1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July</w:t>
                  </w:r>
                  <w:proofErr w:type="spellEnd"/>
                  <w:r w:rsidRPr="00D11EF1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1164F2D" w14:textId="77777777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55" w:history="1"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FRUCOM </w:t>
                    </w:r>
                    <w:proofErr w:type="spell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Draft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proofErr w:type="gramStart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letter</w:t>
                    </w:r>
                    <w:proofErr w:type="spell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-</w:t>
                    </w:r>
                    <w:proofErr w:type="gramEnd"/>
                    <w:r w:rsidRPr="00D11EF1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SO2</w:t>
                    </w:r>
                  </w:hyperlink>
                </w:p>
                <w:p w14:paraId="4FE81AC8" w14:textId="60E5E524" w:rsidR="00D11EF1" w:rsidRPr="00D11EF1" w:rsidRDefault="00D11EF1" w:rsidP="005500AD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</w:tc>
            </w:tr>
          </w:tbl>
          <w:p w14:paraId="55DADBA8" w14:textId="77777777" w:rsidR="00D11EF1" w:rsidRPr="00D11EF1" w:rsidRDefault="00D11EF1" w:rsidP="00D11EF1">
            <w:pPr>
              <w:spacing w:after="120" w:line="240" w:lineRule="auto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</w:tbl>
    <w:p w14:paraId="681B37D7" w14:textId="77777777" w:rsidR="00171A74" w:rsidRPr="00D11EF1" w:rsidRDefault="00171A74" w:rsidP="00D11EF1">
      <w:pPr>
        <w:spacing w:after="120" w:line="240" w:lineRule="auto"/>
      </w:pPr>
    </w:p>
    <w:sectPr w:rsidR="00171A74" w:rsidRPr="00D11EF1" w:rsidSect="005500AD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4B2"/>
    <w:multiLevelType w:val="multilevel"/>
    <w:tmpl w:val="7E10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55AFB"/>
    <w:multiLevelType w:val="multilevel"/>
    <w:tmpl w:val="1EFC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626079">
    <w:abstractNumId w:val="0"/>
  </w:num>
  <w:num w:numId="2" w16cid:durableId="1491556721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" w16cid:durableId="1795978169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322784477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172622394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32879807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704212721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872961395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476721833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187866373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1705785235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86594289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652491370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2076269906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117083093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832990559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210542054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113018121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25536267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68860128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1202550965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149868709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64"/>
    <w:rsid w:val="00090D4A"/>
    <w:rsid w:val="00171A74"/>
    <w:rsid w:val="00355448"/>
    <w:rsid w:val="0037233A"/>
    <w:rsid w:val="00390D64"/>
    <w:rsid w:val="005500AD"/>
    <w:rsid w:val="005A3F89"/>
    <w:rsid w:val="006652C5"/>
    <w:rsid w:val="006B4EB1"/>
    <w:rsid w:val="007023B7"/>
    <w:rsid w:val="009D7D9A"/>
    <w:rsid w:val="00AA6C31"/>
    <w:rsid w:val="00B000F3"/>
    <w:rsid w:val="00D11EF1"/>
    <w:rsid w:val="00D21B7F"/>
    <w:rsid w:val="00F8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EB46"/>
  <w15:chartTrackingRefBased/>
  <w15:docId w15:val="{19F74566-9DCC-4BA3-9C2C-8FABCED1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0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0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0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0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0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0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0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0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0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0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0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0D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0D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0D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0D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0D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0D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0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0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0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0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0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0D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0D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0D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0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0D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0D6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000F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0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https://frucom.eu/component/attachments/attachments.html?task=attachment&amp;id=3063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https://www.eventbrite.com/e/1988561209107?aff=oddtdtcreator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https://single-market-economy.ec.europa.eu/single-market/goods/forced-labour-regulation/what-forced-labour-regulation-and-how-does-it-work_en" TargetMode="External"/><Relationship Id="rId47" Type="http://schemas.openxmlformats.org/officeDocument/2006/relationships/hyperlink" Target="https://webgate.ec.europa.eu/circabc-ewpp/d/d/workspace/SpacesStore/3b159733-6cdf-4f9e-8b30-80580c0679d8/download" TargetMode="External"/><Relationship Id="rId50" Type="http://schemas.openxmlformats.org/officeDocument/2006/relationships/hyperlink" Target="https://commission.europa.eu/document/download/3c257883-bb2a-4dd9-a6dc-501d587bb34f_en?filename=ECGT%20Directive%20FAQ_update%20with%20CPC%20Common%20Understanding.pdf" TargetMode="External"/><Relationship Id="rId55" Type="http://schemas.openxmlformats.org/officeDocument/2006/relationships/hyperlink" Target="https://frucom.eu/component/attachments/attachments.html?task=attachment&amp;id=3067" TargetMode="Externa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https://eur-lex.europa.eu/eli/reg/2026/1455/oj" TargetMode="External"/><Relationship Id="rId37" Type="http://schemas.openxmlformats.org/officeDocument/2006/relationships/hyperlink" Target="https://ec.europa.eu/taxation_customs/dds2/taric/quota_tariff_details.jsp?Lang=en&amp;StartDate=2026-07-01&amp;Code=099005" TargetMode="External"/><Relationship Id="rId40" Type="http://schemas.openxmlformats.org/officeDocument/2006/relationships/hyperlink" Target="https://eur-lex.europa.eu/eli/reg_impl/2026/1422/oj" TargetMode="External"/><Relationship Id="rId45" Type="http://schemas.openxmlformats.org/officeDocument/2006/relationships/hyperlink" Target="https://single-market-economy.ec.europa.eu/single-market/goods/forced-labour-regulation/who-contact_en" TargetMode="External"/><Relationship Id="rId53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9" Type="http://schemas.openxmlformats.org/officeDocument/2006/relationships/hyperlink" Target="https://frucom.eu/component/attachments/attachments.html?task=attachment&amp;id=30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https://www.thonhotels.com/EVENT/FRUCOM/" TargetMode="External"/><Relationship Id="rId27" Type="http://schemas.openxmlformats.org/officeDocument/2006/relationships/hyperlink" Target="https://frucom.eu/circulars/5683:pesticides-eu-publishes-consultation-on-the-inclusion-of-chlorpyriphos-as-a-substance-subjected-to-restrictions,-as-a-persistent-organic-pollutant.html" TargetMode="External"/><Relationship Id="rId30" Type="http://schemas.openxmlformats.org/officeDocument/2006/relationships/hyperlink" Target="https://eping.wto.org/en/Search/Index?viewData=%20G/TBT/N/EU/1218" TargetMode="External"/><Relationship Id="rId35" Type="http://schemas.openxmlformats.org/officeDocument/2006/relationships/hyperlink" Target="https://eur-lex.europa.eu/eli/reg_impl/2026/1422/oj" TargetMode="External"/><Relationship Id="rId43" Type="http://schemas.openxmlformats.org/officeDocument/2006/relationships/hyperlink" Target="https://single-market-economy.ec.europa.eu/single-market/goods/forced-labour-regulation/which-products-and-areas-are-risk-forced-labour_en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fontTable" Target="fontTable.xm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s://frucom.eu/circulars/6017:pesticides-third-country-meeting-notes-on-pesticides,-mrls-omnibus-proposal.html" TargetMode="External"/><Relationship Id="rId33" Type="http://schemas.openxmlformats.org/officeDocument/2006/relationships/hyperlink" Target="https://frucom.eu/circulars/5543" TargetMode="External"/><Relationship Id="rId38" Type="http://schemas.openxmlformats.org/officeDocument/2006/relationships/hyperlink" Target="https://ec.europa.eu/taxation_customs/dds2/taric/quota_consultation.jsp?Origin=US&amp;Status=&amp;Year=2026&amp;Size=20&amp;Expand=true&amp;Lang=en&amp;Critical=&amp;Code=&amp;MaxSize=1000&amp;Offset=20" TargetMode="External"/><Relationship Id="rId46" Type="http://schemas.openxmlformats.org/officeDocument/2006/relationships/hyperlink" Target="https://single-market-economy.ec.europa.eu/single-market/goods/forced-labour-regulation/other-useful-resources_en" TargetMode="External"/><Relationship Id="rId20" Type="http://schemas.openxmlformats.org/officeDocument/2006/relationships/hyperlink" Target="https://frucom.eu/events/upcoming-events/72-joint-frucom-ceereal-in-person-event.html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https://frucom.eu/circulars/5917:frucom-dried-fruit-and-nuts-working-group-21-april-meeting-notes-and-presentation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https://ec.europa.eu/info/law/better-regulation/have-your-say/initiatives/14833-Persistent-organic-pollutants-chlorpyrifos_en" TargetMode="External"/><Relationship Id="rId36" Type="http://schemas.openxmlformats.org/officeDocument/2006/relationships/hyperlink" Target="https://trade.ec.europa.eu/access-to-markets/en/content/direct-transport-or-non-manipulation-or-non-alteration-rules" TargetMode="External"/><Relationship Id="rId49" Type="http://schemas.openxmlformats.org/officeDocument/2006/relationships/hyperlink" Target="https://commission.europa.eu/document/264d8c70-2f9a-4955-8e7b-154d55a9b684_en" TargetMode="External"/><Relationship Id="rId57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https://single-market-economy.ec.europa.eu/single-market/goods/forced-labour-regulation/report-forced-labour_en" TargetMode="External"/><Relationship Id="rId52" Type="http://schemas.openxmlformats.org/officeDocument/2006/relationships/hyperlink" Target="https://frucom.eu/component/attachments/attachments.html?task=attachment&amp;id=305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4585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2026-07-07T05:59:00Z</dcterms:created>
  <dcterms:modified xsi:type="dcterms:W3CDTF">2026-07-07T05:59:00Z</dcterms:modified>
</cp:coreProperties>
</file>