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757D4" w:rsidRPr="006757D4" w14:paraId="5653BC8C" w14:textId="77777777">
        <w:trPr>
          <w:jc w:val="center"/>
        </w:trPr>
        <w:tc>
          <w:tcPr>
            <w:tcW w:w="0" w:type="auto"/>
            <w:shd w:val="clear" w:color="auto" w:fill="15323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757D4" w:rsidRPr="006757D4" w14:paraId="15369EA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539EC266" w14:textId="77777777" w:rsidR="006757D4" w:rsidRDefault="006757D4" w:rsidP="006757D4">
                  <w:pPr>
                    <w:spacing w:after="150" w:line="330" w:lineRule="atLeas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:lang w:eastAsia="tr-TR"/>
                      <w14:ligatures w14:val="none"/>
                    </w:rPr>
                    <w:t>FRUCOM NEWSLETTER 15/06/2026</w:t>
                  </w:r>
                </w:p>
                <w:p w14:paraId="3246AD8A" w14:textId="77777777" w:rsidR="006757D4" w:rsidRPr="006757D4" w:rsidRDefault="006757D4" w:rsidP="006757D4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:lang w:eastAsia="tr-TR"/>
                      <w14:ligatures w14:val="none"/>
                    </w:rPr>
                  </w:pPr>
                  <w:hyperlink r:id="rId5" w:history="1"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Postponement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of FRUCOM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Sustainability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Working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Group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: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new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date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and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developments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in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forced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labour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legislation</w:t>
                    </w:r>
                  </w:hyperlink>
                  <w:proofErr w:type="spellEnd"/>
                </w:p>
                <w:p w14:paraId="167830B5" w14:textId="77777777" w:rsidR="006757D4" w:rsidRPr="006757D4" w:rsidRDefault="006757D4" w:rsidP="006757D4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:lang w:eastAsia="tr-TR"/>
                      <w14:ligatures w14:val="none"/>
                    </w:rPr>
                  </w:pPr>
                  <w:hyperlink r:id="rId6" w:history="1"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EU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Public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consultation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on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corporate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sustainability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due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diligence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–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development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of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guidelines</w:t>
                    </w:r>
                  </w:hyperlink>
                  <w:proofErr w:type="spellEnd"/>
                </w:p>
                <w:p w14:paraId="43984903" w14:textId="77777777" w:rsidR="006757D4" w:rsidRPr="006757D4" w:rsidRDefault="006757D4" w:rsidP="006757D4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:lang w:eastAsia="tr-TR"/>
                      <w14:ligatures w14:val="none"/>
                    </w:rPr>
                  </w:pPr>
                  <w:hyperlink r:id="rId7" w:history="1"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Contaminants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/Mineral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Oils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: MOAH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maximum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levels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and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provisional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approval</w:t>
                    </w:r>
                  </w:hyperlink>
                  <w:proofErr w:type="spellEnd"/>
                </w:p>
                <w:p w14:paraId="3E1671F3" w14:textId="77777777" w:rsidR="006757D4" w:rsidRPr="006757D4" w:rsidRDefault="006757D4" w:rsidP="006757D4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:lang w:eastAsia="tr-TR"/>
                      <w14:ligatures w14:val="none"/>
                    </w:rPr>
                  </w:pPr>
                  <w:hyperlink r:id="rId8" w:history="1"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Contaminants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/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Nickel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in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pecans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: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Member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State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vote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postponed</w:t>
                    </w:r>
                  </w:hyperlink>
                  <w:proofErr w:type="spellEnd"/>
                </w:p>
                <w:p w14:paraId="63AE8FFE" w14:textId="77777777" w:rsidR="006757D4" w:rsidRPr="006757D4" w:rsidRDefault="006757D4" w:rsidP="006757D4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:lang w:eastAsia="tr-TR"/>
                      <w14:ligatures w14:val="none"/>
                    </w:rPr>
                  </w:pPr>
                  <w:hyperlink r:id="rId9" w:history="1"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Official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controls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: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Commission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publishes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Increased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Controls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revision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(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June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2026)</w:t>
                    </w:r>
                    <w:proofErr w:type="spellStart"/>
                  </w:hyperlink>
                  <w:proofErr w:type="spellEnd"/>
                </w:p>
                <w:p w14:paraId="277CFB46" w14:textId="77777777" w:rsidR="006757D4" w:rsidRPr="006757D4" w:rsidRDefault="006757D4" w:rsidP="006757D4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:lang w:eastAsia="tr-TR"/>
                      <w14:ligatures w14:val="none"/>
                    </w:rPr>
                  </w:pPr>
                  <w:hyperlink r:id="rId10" w:history="1"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Pesticides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: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Agendas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of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Commission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meetings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with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Member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States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on 29-30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June</w:t>
                    </w:r>
                  </w:hyperlink>
                  <w:proofErr w:type="spellEnd"/>
                </w:p>
                <w:p w14:paraId="276B07C4" w14:textId="77777777" w:rsidR="006757D4" w:rsidRPr="006757D4" w:rsidRDefault="006757D4" w:rsidP="006757D4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:lang w:eastAsia="tr-TR"/>
                      <w14:ligatures w14:val="none"/>
                    </w:rPr>
                  </w:pPr>
                  <w:hyperlink r:id="rId11" w:history="1"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EU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Trade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meeting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for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Civil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Society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on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new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Generalised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Scheme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of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Preferences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(GSP)</w:t>
                    </w:r>
                    <w:proofErr w:type="spellStart"/>
                  </w:hyperlink>
                  <w:proofErr w:type="spellEnd"/>
                </w:p>
                <w:p w14:paraId="669B662F" w14:textId="77777777" w:rsidR="006757D4" w:rsidRPr="006757D4" w:rsidRDefault="006757D4" w:rsidP="006757D4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:lang w:eastAsia="tr-TR"/>
                      <w14:ligatures w14:val="none"/>
                    </w:rPr>
                  </w:pPr>
                  <w:hyperlink r:id="rId12" w:history="1"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Commission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Notice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–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Guidance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document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for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Regulation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(EU) 2025/40 on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packaging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and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packaging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waste</w:t>
                    </w:r>
                  </w:hyperlink>
                  <w:proofErr w:type="spellEnd"/>
                </w:p>
                <w:p w14:paraId="68EB175F" w14:textId="77777777" w:rsidR="006757D4" w:rsidRPr="006757D4" w:rsidRDefault="006757D4" w:rsidP="006757D4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:lang w:eastAsia="tr-TR"/>
                      <w14:ligatures w14:val="none"/>
                    </w:rPr>
                  </w:pPr>
                  <w:hyperlink r:id="rId13" w:history="1"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EU anti-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Greenwashing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measures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: New Q&amp; A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document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on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Empowering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Consumers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for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the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Green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Transition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,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Commission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infringements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on MS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who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failed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to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fully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transpose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directive</w:t>
                    </w:r>
                  </w:hyperlink>
                  <w:proofErr w:type="spellEnd"/>
                </w:p>
                <w:p w14:paraId="52EFC66C" w14:textId="77777777" w:rsidR="006757D4" w:rsidRPr="006757D4" w:rsidRDefault="006757D4" w:rsidP="006757D4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:lang w:eastAsia="tr-TR"/>
                      <w14:ligatures w14:val="none"/>
                    </w:rPr>
                  </w:pPr>
                  <w:hyperlink r:id="rId14" w:history="1"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RASFF NOTIFICATION: 2026/24 (08/06/</w:t>
                    </w:r>
                    <w:proofErr w:type="gram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2026 -</w:t>
                    </w:r>
                    <w:proofErr w:type="gram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14/06/2026)</w:t>
                    </w:r>
                  </w:hyperlink>
                </w:p>
                <w:p w14:paraId="471895C6" w14:textId="10E8ED99" w:rsidR="006757D4" w:rsidRPr="006757D4" w:rsidRDefault="006757D4" w:rsidP="006757D4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:lang w:eastAsia="tr-TR"/>
                      <w14:ligatures w14:val="none"/>
                    </w:rPr>
                  </w:pPr>
                  <w:hyperlink r:id="rId15" w:history="1"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UK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further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consults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on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autonomous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duty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suspension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until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24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June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–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concerns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nuts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&amp;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dried</w:t>
                    </w:r>
                    <w:proofErr w:type="spellEnd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</w:t>
                    </w:r>
                    <w:proofErr w:type="spellStart"/>
                    <w:r w:rsidRPr="006757D4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:lang w:eastAsia="tr-TR"/>
                        <w14:ligatures w14:val="none"/>
                      </w:rPr>
                      <w:t>fruits</w:t>
                    </w:r>
                    <w:proofErr w:type="spellEnd"/>
                  </w:hyperlink>
                </w:p>
              </w:tc>
            </w:tr>
            <w:tr w:rsidR="006757D4" w:rsidRPr="006757D4" w14:paraId="1723425C" w14:textId="77777777">
              <w:trPr>
                <w:trHeight w:val="2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B723334" w14:textId="77777777" w:rsidR="006757D4" w:rsidRPr="006757D4" w:rsidRDefault="006757D4" w:rsidP="006757D4">
                  <w:pPr>
                    <w:spacing w:after="0" w:line="330" w:lineRule="atLeast"/>
                    <w:rPr>
                      <w:rFonts w:ascii="Helvetica" w:eastAsia="Times New Roman" w:hAnsi="Helvetica" w:cs="Helvetica"/>
                      <w:color w:val="FFFFFF"/>
                      <w:kern w:val="0"/>
                      <w:lang w:eastAsia="tr-TR"/>
                      <w14:ligatures w14:val="none"/>
                    </w:rPr>
                  </w:pPr>
                </w:p>
              </w:tc>
            </w:tr>
          </w:tbl>
          <w:p w14:paraId="3EB58FA0" w14:textId="77777777" w:rsidR="006757D4" w:rsidRPr="006757D4" w:rsidRDefault="006757D4" w:rsidP="006757D4">
            <w:pPr>
              <w:spacing w:after="0" w:line="240" w:lineRule="auto"/>
              <w:rPr>
                <w:rFonts w:ascii="Arial" w:eastAsia="Times New Roman" w:hAnsi="Arial" w:cs="Arial"/>
                <w:color w:val="2D2D38"/>
                <w:kern w:val="0"/>
                <w:lang w:eastAsia="tr-TR"/>
                <w14:ligatures w14:val="none"/>
              </w:rPr>
            </w:pPr>
          </w:p>
        </w:tc>
      </w:tr>
      <w:tr w:rsidR="006757D4" w:rsidRPr="006757D4" w14:paraId="6B98C9CF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757D4" w:rsidRPr="006757D4" w14:paraId="5C8DA101" w14:textId="77777777">
              <w:trPr>
                <w:trHeight w:val="5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5753560" w14:textId="77777777" w:rsidR="006757D4" w:rsidRPr="006757D4" w:rsidRDefault="006757D4" w:rsidP="00675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  <w:tr w:rsidR="006757D4" w:rsidRPr="006757D4" w14:paraId="76DCD9D5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0668A3D" w14:textId="77777777" w:rsidR="006757D4" w:rsidRPr="006757D4" w:rsidRDefault="006757D4" w:rsidP="006757D4">
                  <w:pPr>
                    <w:spacing w:after="450" w:line="240" w:lineRule="auto"/>
                    <w:outlineLvl w:val="1"/>
                    <w:rPr>
                      <w:rFonts w:ascii="Arial" w:eastAsia="Times New Roman" w:hAnsi="Arial" w:cs="Arial"/>
                      <w:color w:val="FF8C00"/>
                      <w:kern w:val="0"/>
                      <w:sz w:val="45"/>
                      <w:szCs w:val="45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FF8C00"/>
                      <w:kern w:val="0"/>
                      <w:sz w:val="45"/>
                      <w:szCs w:val="45"/>
                      <w:lang w:eastAsia="tr-TR"/>
                      <w14:ligatures w14:val="none"/>
                    </w:rPr>
                    <w:t>FRUCOM ACTIVITIES</w:t>
                  </w:r>
                </w:p>
                <w:p w14:paraId="6CC44759" w14:textId="77777777" w:rsidR="006757D4" w:rsidRDefault="006757D4" w:rsidP="006757D4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16" w:history="1"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Postponement of FRUCOM Sustainability Working Group: new date and developments in forced labour </w:t>
                    </w:r>
                    <w:proofErr w:type="spellStart"/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legislation</w:t>
                    </w:r>
                  </w:hyperlink>
                  <w:proofErr w:type="spellEnd"/>
                </w:p>
                <w:p w14:paraId="726437AD" w14:textId="1FFDF59D" w:rsidR="006757D4" w:rsidRPr="006757D4" w:rsidRDefault="006757D4" w:rsidP="006757D4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regret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inform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have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taken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decision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>postpone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Sustainability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Working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Group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meeting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17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has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been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done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agreement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speakers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DG TRADE since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current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week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they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releasing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two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key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elements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implementation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Forced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Labour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legislation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: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portal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accessible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economic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operators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including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teh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Forced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Labour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well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Guidance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EU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Forced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Labour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09B8D0E7" w14:textId="77777777" w:rsidR="006757D4" w:rsidRPr="006757D4" w:rsidRDefault="006757D4" w:rsidP="006757D4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keep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you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informed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detail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they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become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available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1232D482" w14:textId="77777777" w:rsidR="006757D4" w:rsidRPr="006757D4" w:rsidRDefault="006757D4" w:rsidP="006757D4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Commission’s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>Javier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>Martín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 xml:space="preserve">, Team </w:t>
                  </w:r>
                  <w:proofErr w:type="spellStart"/>
                  <w:proofErr w:type="gram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>Leader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 xml:space="preserve"> -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>Forced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>Labour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 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Directorate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-General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Trade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Economic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Security (DG TRADE),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, </w:t>
                  </w:r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 xml:space="preserve">is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>confirmed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participate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present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application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EU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forced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labour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implications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importers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at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joint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FRUCOM-</w:t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lastRenderedPageBreak/>
                    <w:t xml:space="preserve">CEEREAL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person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event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taking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place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 </w:t>
                  </w:r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 xml:space="preserve">16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>October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 xml:space="preserve"> 2026</w:t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 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Brussels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be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item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our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agenda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featuring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usual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keynote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speech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food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safety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nutrition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sustainability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panels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430F479C" w14:textId="40F20DD4" w:rsidR="006757D4" w:rsidRPr="006757D4" w:rsidRDefault="006757D4" w:rsidP="006757D4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register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in-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person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event: </w:t>
                  </w:r>
                  <w:hyperlink r:id="rId17" w:history="1">
                    <w:r w:rsidRPr="006757D4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https://www.eventbrite.be/e/15-16-october-joint-frucom-ceereal-in-person-event-registration-1988561209107?aff=oddtdtcreator</w:t>
                    </w:r>
                  </w:hyperlink>
                </w:p>
                <w:p w14:paraId="3C3AF0FB" w14:textId="77777777" w:rsidR="006757D4" w:rsidRPr="006757D4" w:rsidRDefault="006757D4" w:rsidP="006757D4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Secretariat</w:t>
                  </w:r>
                  <w:proofErr w:type="spellEnd"/>
                </w:p>
                <w:p w14:paraId="7E933D31" w14:textId="77777777" w:rsidR="006757D4" w:rsidRDefault="006757D4" w:rsidP="006757D4">
                  <w:pPr>
                    <w:spacing w:after="0" w:line="240" w:lineRule="auto"/>
                    <w:outlineLvl w:val="1"/>
                    <w:rPr>
                      <w:rFonts w:ascii="Arial" w:eastAsia="Times New Roman" w:hAnsi="Arial" w:cs="Arial"/>
                      <w:color w:val="FF8C00"/>
                      <w:kern w:val="0"/>
                      <w:sz w:val="45"/>
                      <w:szCs w:val="45"/>
                      <w:lang w:eastAsia="tr-TR"/>
                      <w14:ligatures w14:val="none"/>
                    </w:rPr>
                  </w:pPr>
                </w:p>
                <w:p w14:paraId="3C3BA7B3" w14:textId="21095875" w:rsidR="006757D4" w:rsidRPr="006757D4" w:rsidRDefault="006757D4" w:rsidP="006757D4">
                  <w:pPr>
                    <w:spacing w:after="450" w:line="240" w:lineRule="auto"/>
                    <w:outlineLvl w:val="1"/>
                    <w:rPr>
                      <w:rFonts w:ascii="Arial" w:eastAsia="Times New Roman" w:hAnsi="Arial" w:cs="Arial"/>
                      <w:color w:val="FF8C00"/>
                      <w:kern w:val="0"/>
                      <w:sz w:val="45"/>
                      <w:szCs w:val="45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FF8C00"/>
                      <w:kern w:val="0"/>
                      <w:sz w:val="45"/>
                      <w:szCs w:val="45"/>
                      <w:lang w:eastAsia="tr-TR"/>
                      <w14:ligatures w14:val="none"/>
                    </w:rPr>
                    <w:t>ALL PRODUCTS</w:t>
                  </w:r>
                </w:p>
                <w:p w14:paraId="579D41B0" w14:textId="77777777" w:rsidR="006757D4" w:rsidRPr="006757D4" w:rsidRDefault="006757D4" w:rsidP="006757D4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18" w:history="1"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EU Public consultation on corporate sustainability due diligence – development of guidelines</w:t>
                    </w:r>
                  </w:hyperlink>
                </w:p>
                <w:p w14:paraId="46EDD79A" w14:textId="77777777" w:rsidR="006757D4" w:rsidRPr="006757D4" w:rsidRDefault="006757D4" w:rsidP="006757D4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developing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guidelines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support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implementation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Directive 2024/1760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corporate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sustainability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due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diligence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2D75008B" w14:textId="77777777" w:rsidR="006757D4" w:rsidRPr="006757D4" w:rsidRDefault="006757D4" w:rsidP="006757D4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Directive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targets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very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large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EU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companies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well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-EU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companies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significant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business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EU.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requires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identify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prevent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bring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actual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potential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adverse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impacts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human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rights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environment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their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own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operations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those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their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subsidiaries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their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value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chains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7CA2A6EA" w14:textId="77777777" w:rsidR="006757D4" w:rsidRPr="006757D4" w:rsidRDefault="006757D4" w:rsidP="006757D4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public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consultation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form of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questionnaire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open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12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inform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development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guidelines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support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effective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implementation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CSDDD.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issue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guidelines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provide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practical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orientation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companies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how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fulfil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their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due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diligence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obligations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authorities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how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implement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enforce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Directive,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stakeholders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how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pursue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their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rights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guidelines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also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be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relevant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companies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other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stakeholders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-EU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countries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linked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supply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chains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companies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obligations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under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Directive.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purpose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questionnaire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pre-consult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stakeholders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view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collect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evidence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assess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needs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inform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development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future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guidelines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06EA57B9" w14:textId="77777777" w:rsidR="006757D4" w:rsidRPr="006757D4" w:rsidRDefault="006757D4" w:rsidP="006757D4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Consultation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deadline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is </w:t>
                  </w:r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 xml:space="preserve">24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>July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 xml:space="preserve"> 2026 (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>midnight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>Brussels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lang w:eastAsia="tr-TR"/>
                      <w14:ligatures w14:val="none"/>
                    </w:rPr>
                    <w:t xml:space="preserve"> time)</w:t>
                  </w:r>
                </w:p>
                <w:p w14:paraId="30C353AA" w14:textId="77777777" w:rsidR="006757D4" w:rsidRDefault="006757D4" w:rsidP="006757D4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More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information </w:t>
                  </w:r>
                  <w:hyperlink r:id="rId19" w:history="1">
                    <w:r w:rsidRPr="006757D4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https://ec.europa.eu/info/law/better-regulation/have-your-say/initiatives/14445-Corporate-sustainability-due-diligence-development-of-guidelines_en</w:t>
                    </w:r>
                  </w:hyperlink>
                </w:p>
                <w:p w14:paraId="10E5C9B3" w14:textId="77777777" w:rsidR="006757D4" w:rsidRDefault="006757D4" w:rsidP="006757D4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</w:p>
                <w:p w14:paraId="38DBF244" w14:textId="77777777" w:rsidR="006757D4" w:rsidRDefault="006757D4" w:rsidP="006757D4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</w:p>
                <w:p w14:paraId="723D6B54" w14:textId="77777777" w:rsidR="006757D4" w:rsidRDefault="006757D4" w:rsidP="006757D4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</w:p>
                <w:p w14:paraId="1EADC87E" w14:textId="77777777" w:rsidR="006757D4" w:rsidRDefault="006757D4" w:rsidP="006757D4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</w:p>
                <w:p w14:paraId="436B1388" w14:textId="77777777" w:rsidR="006757D4" w:rsidRDefault="006757D4" w:rsidP="006757D4">
                  <w:pPr>
                    <w:spacing w:after="0" w:line="330" w:lineRule="atLeast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</w:p>
                <w:p w14:paraId="4FEFAF13" w14:textId="0BF14EDC" w:rsidR="006757D4" w:rsidRPr="006757D4" w:rsidRDefault="006757D4" w:rsidP="006757D4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20" w:history="1"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Contaminants/Mineral Oils: MOAH maximum levels and provisional approval</w:t>
                    </w:r>
                  </w:hyperlink>
                </w:p>
                <w:p w14:paraId="0C8B0D81" w14:textId="77777777" w:rsidR="006757D4" w:rsidRDefault="006757D4" w:rsidP="006757D4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</w:p>
                <w:p w14:paraId="7F27922B" w14:textId="77777777" w:rsidR="006757D4" w:rsidRDefault="006757D4" w:rsidP="006757D4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had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previously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reported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approved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number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proposals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related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Mineral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Oils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including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new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MOAH:</w:t>
                  </w:r>
                </w:p>
                <w:p w14:paraId="1032F317" w14:textId="3E0A8545" w:rsidR="006757D4" w:rsidRPr="006757D4" w:rsidRDefault="009B4E5B" w:rsidP="006757D4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21" w:history="1">
                    <w:r w:rsidRPr="00B81150">
                      <w:rPr>
                        <w:rStyle w:val="Kpr"/>
                        <w:rFonts w:ascii="Arial" w:eastAsia="Times New Roman" w:hAnsi="Arial" w:cs="Arial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https://www.frucom.eu/circulars/5957:contaminants-draft-mineral-oils-moh-levels-approved-by-member-states-in-standing-committee-meeting.html</w:t>
                    </w:r>
                  </w:hyperlink>
                </w:p>
                <w:p w14:paraId="0DA476BA" w14:textId="77777777" w:rsidR="006757D4" w:rsidRPr="006757D4" w:rsidRDefault="006757D4" w:rsidP="006757D4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After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meeting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signed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joint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agreeing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start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provisional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enforcement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approved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Maximum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Levels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. FRUCOM has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received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clarifications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legal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provisions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allowing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thus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: </w:t>
                  </w:r>
                </w:p>
                <w:p w14:paraId="796B67FA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21 April 2022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enforcement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MOAH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food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clarifications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19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October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2022)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agreed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not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enforce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MOAH at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levels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below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agreed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limits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quantification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LOQs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).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However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enforcement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levels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MOAH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food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could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be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done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basis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national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risk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assessment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Art. 14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(EC) No 178/2002,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when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concentrations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at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above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agreed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LOQs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. By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means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new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LOQs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would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be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replaced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which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received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favourable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vote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means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awaiting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application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longer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enforce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quantities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MOAH at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above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LOQ, but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they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should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enforce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MOAH at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above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ML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basis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national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risk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assessment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basis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Art. 14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(EC) No 178/2002,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which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means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new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would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be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benefit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food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business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operators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2880DAAE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statements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can be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found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below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website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72521E99" w14:textId="5F58CC0F" w:rsidR="006757D4" w:rsidRPr="006757D4" w:rsidRDefault="009B4E5B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22" w:history="1">
                    <w:r w:rsidRPr="00B81150">
                      <w:rPr>
                        <w:rStyle w:val="Kpr"/>
                        <w:rFonts w:ascii="Arial" w:eastAsia="Times New Roman" w:hAnsi="Arial" w:cs="Arial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https://food.ec.europa.eu/food-safety/chemical-safety/contaminants/catalogue_en</w:t>
                    </w:r>
                  </w:hyperlink>
                </w:p>
                <w:p w14:paraId="720FA210" w14:textId="77777777" w:rsidR="009B4E5B" w:rsidRDefault="009B4E5B" w:rsidP="009B4E5B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</w:p>
                <w:p w14:paraId="0F480BBD" w14:textId="5664BF66" w:rsidR="006757D4" w:rsidRPr="006757D4" w:rsidRDefault="006757D4" w:rsidP="009B4E5B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23" w:history="1"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Contaminants/Nickel in pecans: Member State vote postponed</w:t>
                    </w:r>
                  </w:hyperlink>
                </w:p>
                <w:p w14:paraId="59F71DA3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has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received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updated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information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vote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increased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maximum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levels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)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nickel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pecans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:</w:t>
                  </w:r>
                </w:p>
                <w:p w14:paraId="5B71951C" w14:textId="77777777" w:rsidR="009B4E5B" w:rsidRDefault="006757D4" w:rsidP="009B4E5B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Due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delays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internal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procedures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vote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amendment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ML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not be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as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previously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reported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773852C1" w14:textId="77777777" w:rsidR="009B4E5B" w:rsidRDefault="006757D4" w:rsidP="009B4E5B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possibility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already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have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higher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levels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enforced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through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statement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be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agreed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by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Member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States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was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considered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19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meeting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but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postponed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2A571F97" w14:textId="3344F358" w:rsidR="006757D4" w:rsidRPr="009B4E5B" w:rsidRDefault="006757D4" w:rsidP="009B4E5B">
                  <w:pPr>
                    <w:pStyle w:val="ListeParagraf"/>
                    <w:numPr>
                      <w:ilvl w:val="0"/>
                      <w:numId w:val="6"/>
                    </w:numPr>
                    <w:spacing w:after="15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next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Standing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meeting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is 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scheduled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25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September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.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vote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may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take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place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then</w:t>
                  </w:r>
                  <w:proofErr w:type="spellEnd"/>
                  <w:r w:rsidRPr="009B4E5B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6A3AE0D0" w14:textId="77777777" w:rsidR="006757D4" w:rsidRPr="006757D4" w:rsidRDefault="006757D4" w:rsidP="009B4E5B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24" w:history="1"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Official controls: Commission publishes Increased Controls revision (June 2026)</w:t>
                    </w:r>
                  </w:hyperlink>
                </w:p>
                <w:p w14:paraId="6FCF6B3E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has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published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(EU) 2026/1206,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(EU) 2019/1793 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regards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temporary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increase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official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controls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emergency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measures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governing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entry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Union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certain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goods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certain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third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countries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03522802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was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reported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previous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FRUCOM circular: </w:t>
                  </w:r>
                  <w:hyperlink r:id="rId25" w:history="1">
                    <w:r w:rsidRPr="006757D4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https://frucom.eu/circulars/5978:official-controls-commission-draft-increased-controls-revision-june-2026.html</w:t>
                    </w:r>
                  </w:hyperlink>
                </w:p>
                <w:p w14:paraId="01D57939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Please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find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changes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relevant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:</w:t>
                  </w:r>
                </w:p>
                <w:p w14:paraId="75981E6D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Added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Annex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 -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Groundnuts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produced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groundnuts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Argentina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(20%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checks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aflatoxins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).</w:t>
                  </w:r>
                </w:p>
                <w:p w14:paraId="67D43E91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shall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enter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twentieth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following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publication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Official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Journal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Union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published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9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).</w:t>
                  </w:r>
                </w:p>
                <w:p w14:paraId="54712681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available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at: </w:t>
                  </w:r>
                  <w:hyperlink r:id="rId26" w:history="1">
                    <w:r w:rsidRPr="006757D4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https://eur-lex.europa.eu/legal-content/EN/TXT/?uri=OJ:L_202601206</w:t>
                    </w:r>
                  </w:hyperlink>
                </w:p>
                <w:p w14:paraId="0D4C9390" w14:textId="77777777" w:rsidR="009B4E5B" w:rsidRDefault="009B4E5B" w:rsidP="009B4E5B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</w:p>
                <w:p w14:paraId="6BB40105" w14:textId="46CBA382" w:rsidR="006757D4" w:rsidRPr="006757D4" w:rsidRDefault="006757D4" w:rsidP="009B4E5B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27" w:history="1"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Pesticides: Agendas of Commission meetings with Member States on 29-30 June</w:t>
                    </w:r>
                  </w:hyperlink>
                </w:p>
                <w:p w14:paraId="7398009E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Plants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Animals, Food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Feed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,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Section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Phytopharmaceuticals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-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Legislation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have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meeting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29-30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Please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find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selection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relevant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agenda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items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below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:</w:t>
                  </w:r>
                </w:p>
                <w:p w14:paraId="295CAB81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Section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B</w:t>
                  </w: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br/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(s)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presented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an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br/>
                  </w: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B.01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renewing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br/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pelargonic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acid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(EC) No 1107/2009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(EU) No 540/2011</w:t>
                  </w:r>
                </w:p>
                <w:p w14:paraId="632C4250" w14:textId="4DC5ACEA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: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33F8D7B9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B.03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renewing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mecoprop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-P as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candidate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substitution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lastRenderedPageBreak/>
                    <w:t xml:space="preserve">(EC) No 1107/2009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No 540/2011 </w:t>
                  </w:r>
                </w:p>
                <w:p w14:paraId="6C7893D2" w14:textId="3387704A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: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68CBC14B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B.04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No 283/2013 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regards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information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be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submitted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substances</w:t>
                  </w:r>
                  <w:proofErr w:type="spellEnd"/>
                </w:p>
                <w:p w14:paraId="6BC34A90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B.05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No 284/2013 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regards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information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be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submitted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plant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protection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products</w:t>
                  </w:r>
                  <w:proofErr w:type="spellEnd"/>
                </w:p>
                <w:p w14:paraId="3E105ADE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B.06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No 546/2011 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regards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uniform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principles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evaluation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authorisation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plant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protection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regard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birds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mammals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bees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drinking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water</w:t>
                  </w:r>
                  <w:proofErr w:type="spellEnd"/>
                </w:p>
                <w:p w14:paraId="147AC780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B.07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No 540/2011 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regards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extension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periods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aclonifen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,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amisulbrom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Bacillus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amyloliquefaciens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strain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MBI 600,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beflubutamid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clomazone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,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cyantraniliprole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cyprodinil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daminozide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dichlorprop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-P,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dimethachlor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fludioxonil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,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formetanate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fosetyl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isofetamid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metalaxyl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metazachlor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penconazole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phenmedipham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,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pirimicarb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pyraclostrobin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S-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abscisic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acid</w:t>
                  </w:r>
                  <w:proofErr w:type="spellEnd"/>
                </w:p>
                <w:p w14:paraId="45442C9A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:</w:t>
                  </w:r>
                </w:p>
                <w:p w14:paraId="636FE523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Small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amount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aclonifen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amisulbrom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beflubutamid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clomazone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cyantraniliprole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daminozide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dichlorprop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-P,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dimethachlor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formetanate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fosetyl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isofetamid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metazachlor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phenmedipham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pirimicarb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–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exceedances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56B65DB5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Some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cyprodinil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fludioxonil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especially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raisins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sultanas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–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exceedances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Some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penconazole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especially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raisins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sultanas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peanuts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–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exceedances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Some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pyraclostrobin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especially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sultanas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raisins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–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residual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number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exceedances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2D35DB78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No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Bacillus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amyloliquefaciens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strain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MBI 600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s-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abscisic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acid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063167F5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Top10/30 in 2025: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Metalaxyl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metalaxyl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-M (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jointly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),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cyprodinil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fosetyl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top 10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most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detected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pesticides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2025.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Pyraclostrobin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is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top 30.</w:t>
                  </w:r>
                </w:p>
                <w:p w14:paraId="306DE1EB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B.08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renewing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pyraclostrobin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(EC) No 1107/2009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lastRenderedPageBreak/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(EU) No 540/2011</w:t>
                  </w:r>
                </w:p>
                <w:p w14:paraId="0280CBE4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: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Pyraclostrobin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is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top 30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most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detected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substances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2025.</w:t>
                  </w:r>
                </w:p>
                <w:p w14:paraId="221AA34D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B.09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possible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opinion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renewing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br/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phosphine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(EC) No 1107/2009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(EU) No 540/2011</w:t>
                  </w:r>
                </w:p>
                <w:p w14:paraId="72F780A9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: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262CC6A5" w14:textId="01A1A07B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Section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C</w:t>
                  </w: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br/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(s)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presented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discussion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br/>
                  </w: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C.01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 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concerning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non-renewal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flutolanil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, in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(EC) No 1107/2009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No 540/2011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2015/408</w:t>
                  </w:r>
                </w:p>
                <w:p w14:paraId="1ECD6755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: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small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amount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exceedances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4901F4FB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C.02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 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concerning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non-renewal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buprofezin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, in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(EC) No 1107/2009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No 540/2011</w:t>
                  </w:r>
                </w:p>
                <w:p w14:paraId="6B201780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: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small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amount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residual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number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exceedances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49326CEE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C.03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 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concerning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non-renewal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pirimicarb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, in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(EC) No 1107/2009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No 540/2011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2015/408</w:t>
                  </w:r>
                </w:p>
                <w:p w14:paraId="2E89C1CD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: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small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amount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exceedances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75DC990E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C.04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 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approving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pydiflumetofen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as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candidate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substitution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in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(EC) No 1107/2009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No 540/2011</w:t>
                  </w:r>
                </w:p>
                <w:p w14:paraId="2AE8A825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lastRenderedPageBreak/>
                    <w:t xml:space="preserve">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: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small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amount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exceedances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3A87693C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C.05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 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concerning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non-renewal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triclopyr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in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(EC) No 1107/2009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No 540/2011</w:t>
                  </w:r>
                </w:p>
                <w:p w14:paraId="77DCFBCF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: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residual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amount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residual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number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exceedances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peanuts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73B52C4E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C.06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 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concerning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non-renewal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cyprodinil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, in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(EC) No 1107/2009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Council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No 540/2011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2015/408</w:t>
                  </w:r>
                </w:p>
                <w:p w14:paraId="0871B323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: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some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especially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sultanas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raisins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some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detections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but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exceedances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0CF1F081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is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top 10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most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detected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2025.</w:t>
                  </w:r>
                </w:p>
                <w:p w14:paraId="38A42D7A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C.07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 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concerning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non-approval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benzobicyclon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accordance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(EC) No 1107/2009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Parliament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Council</w:t>
                  </w:r>
                  <w:proofErr w:type="spellEnd"/>
                </w:p>
                <w:p w14:paraId="0D716608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: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52640A09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C.08 Exchange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Committee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on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draft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 (EU)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Implementing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(EU) No 540/2011 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regards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extension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 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approval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periods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active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substances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2,5-Dichlorobenzoic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acid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methylester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,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acequinocyl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acetic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acid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aluminium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phosphide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amidosulfuron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buprofezin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calcium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carbide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emamectin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ethylene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fatty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acids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C7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C20,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fenoxaprop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-P,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flonicamid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(IKI 220),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halosulfuron-methyl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iron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sulphate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magnesium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phosphide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metamitron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orange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oil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quinmerac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sodium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silver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thiosulfate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sulcotrione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tembotrione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Trichoderma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asperellum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strains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ICC012, T25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TV1,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Trichoderma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atroviride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strain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T-11,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Trichoderma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gamsii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strain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ICC080,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Trichoderma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harzianum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strains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T-22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ITEM 908,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zinc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:lang w:eastAsia="tr-TR"/>
                      <w14:ligatures w14:val="none"/>
                    </w:rPr>
                    <w:t>phosphide</w:t>
                  </w:r>
                  <w:proofErr w:type="spellEnd"/>
                </w:p>
                <w:p w14:paraId="62E1DFE5" w14:textId="77777777" w:rsidR="006757D4" w:rsidRPr="006757D4" w:rsidRDefault="006757D4" w:rsidP="009B4E5B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full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agenda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available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at: </w:t>
                  </w:r>
                  <w:hyperlink r:id="rId28" w:history="1">
                    <w:r w:rsidRPr="006757D4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https://food.ec.europa.eu/document/download/4015702b-2adb-4c47-ae6a-4a5170db6752_en?filename=sc_phyto_20260629_ppl_agenda.pdf</w:t>
                    </w:r>
                  </w:hyperlink>
                </w:p>
                <w:p w14:paraId="2B958340" w14:textId="77777777" w:rsidR="009B4E5B" w:rsidRDefault="009B4E5B" w:rsidP="009B4E5B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</w:p>
                <w:p w14:paraId="46FA1C1D" w14:textId="1256EB82" w:rsidR="006757D4" w:rsidRPr="006757D4" w:rsidRDefault="006757D4" w:rsidP="009B4E5B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29" w:history="1"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EU Trade meeting for Civil Society on new Generalised Scheme of Preferences (GSP)</w:t>
                    </w:r>
                  </w:hyperlink>
                </w:p>
                <w:p w14:paraId="04156259" w14:textId="77777777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Monday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8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EU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Commission’s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Directorate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-General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Trade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Economic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Security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organised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meeting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present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discuss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civil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society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key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features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EU’s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new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Generalised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Scheme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Preferences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(GSP).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new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GSP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foreseen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enter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1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January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2027.</w:t>
                  </w:r>
                </w:p>
                <w:p w14:paraId="436AB3B1" w14:textId="77777777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GSP is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key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tool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through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which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EU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supports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low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-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lower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middle-income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countries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their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pursuit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poverty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reduction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economic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growth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sustainable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development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.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EU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unilaterally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grants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preferential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access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EU market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beneficiary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countries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eliminating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reducing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import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tariffs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6F7C7274" w14:textId="77777777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Minutes: </w:t>
                  </w:r>
                  <w:hyperlink r:id="rId30" w:history="1">
                    <w:r w:rsidRPr="006757D4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https://circabc.europa.eu/ui/group/e0f56e8c-171c-489e-9421-9987745376ae/library/304d2118-0501-419b-8cab-5661964c6626/details?download=true</w:t>
                    </w:r>
                  </w:hyperlink>
                </w:p>
                <w:p w14:paraId="3C6C3E50" w14:textId="77777777" w:rsidR="00803525" w:rsidRDefault="00803525" w:rsidP="00803525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</w:p>
                <w:p w14:paraId="6A0B91B4" w14:textId="7EDB417C" w:rsidR="006757D4" w:rsidRPr="006757D4" w:rsidRDefault="006757D4" w:rsidP="00803525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31" w:history="1"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Commission Notice – Guidance document for Regulation (EU) 2025/40 on packaging and packaging waste</w:t>
                    </w:r>
                  </w:hyperlink>
                </w:p>
                <w:p w14:paraId="323D8E31" w14:textId="77777777" w:rsidR="00803525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Regulation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(EU) 2025/40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packaging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packaging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waste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(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hereafter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PPWR)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entered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11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February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2025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apply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12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August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2026.</w:t>
                  </w:r>
                </w:p>
                <w:p w14:paraId="600971B2" w14:textId="1008875C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On 10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June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EU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published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Official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Journal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Notice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guidance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already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shared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March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2026</w:t>
                  </w:r>
                </w:p>
                <w:p w14:paraId="655BA868" w14:textId="77777777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guidance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covers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over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33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different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points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concern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related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PPWR,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guidance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shares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Commission’s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interpretation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certain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provisions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PPWR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with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stakeholders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08588975" w14:textId="7AD43491" w:rsidR="006757D4" w:rsidRPr="006757D4" w:rsidRDefault="00803525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32" w:history="1">
                    <w:r w:rsidRPr="00B81150">
                      <w:rPr>
                        <w:rStyle w:val="Kpr"/>
                        <w:rFonts w:ascii="Arial" w:eastAsia="Times New Roman" w:hAnsi="Arial" w:cs="Arial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https://eur-lex.europa.eu/eli/C/2026/3084/oj</w:t>
                    </w:r>
                  </w:hyperlink>
                </w:p>
                <w:p w14:paraId="7DF8BF71" w14:textId="77777777" w:rsidR="00803525" w:rsidRDefault="00803525" w:rsidP="00803525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</w:p>
                <w:p w14:paraId="13B24DB2" w14:textId="7B516E13" w:rsidR="006757D4" w:rsidRPr="006757D4" w:rsidRDefault="006757D4" w:rsidP="00803525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33" w:history="1"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EU anti-Greenwashing measures: New Q&amp; A document on Empowering Consumers for the Green Transition, Commission infringements on MS who failed to fully transpose directive</w:t>
                    </w:r>
                  </w:hyperlink>
                </w:p>
                <w:p w14:paraId="3A5B59F7" w14:textId="77777777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On May 28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European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opened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infringement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procedures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sending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letters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formal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notice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20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-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Belgium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Bulgaria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Czechia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Estonia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Greece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Spain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France,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Croatia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Cyprus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Latvia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Luxembourg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Hungary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Malta,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Netherlands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Austria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Poland,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Portugal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Slovenia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Finland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Sweden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-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failing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communicate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complete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transposition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Directive on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fldChar w:fldCharType="begin"/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instrText>HYPERLINK "https://commission.europa.eu/topics/consumers/consumer-rights-and-complaints/sustainable-consumption_en" \l "empowering-the-consumer-for-the-green-transition"</w:instrText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fldChar w:fldCharType="separate"/>
                  </w:r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Empowering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Consumers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Green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Transition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fldChar w:fldCharType="end"/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 (</w:t>
                  </w:r>
                  <w:hyperlink r:id="rId34" w:history="1">
                    <w:r w:rsidRPr="006757D4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Directive (EU) 2024/825</w:t>
                    </w:r>
                  </w:hyperlink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).</w:t>
                  </w:r>
                </w:p>
                <w:p w14:paraId="5D972A53" w14:textId="77777777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lastRenderedPageBreak/>
                    <w:t>Member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States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had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until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27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March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2026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transpose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Directive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their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national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law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67F75A86" w14:textId="77777777" w:rsidR="00803525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Empowering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Consumers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Green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Transition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Directive (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also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known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“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EmpCo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"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“ECGT” Directive)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start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applying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from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27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September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2026.</w:t>
                  </w:r>
                </w:p>
                <w:p w14:paraId="248D8B89" w14:textId="44C5811F" w:rsidR="006757D4" w:rsidRPr="006757D4" w:rsidRDefault="00803525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35" w:history="1">
                    <w:r w:rsidRPr="00B81150">
                      <w:rPr>
                        <w:rStyle w:val="Kpr"/>
                        <w:rFonts w:ascii="Arial" w:eastAsia="Times New Roman" w:hAnsi="Arial" w:cs="Arial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https://ec.europa.eu/commission/presscorner/detail/en/inf_26_1097</w:t>
                    </w:r>
                  </w:hyperlink>
                </w:p>
                <w:p w14:paraId="652ED225" w14:textId="77777777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On 18 May,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Commission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published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Questions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&amp; </w:t>
                  </w:r>
                  <w:proofErr w:type="spellStart"/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Answers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-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Directive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empowering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consumers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Green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Transition </w:t>
                  </w:r>
                  <w:hyperlink r:id="rId36" w:history="1">
                    <w:r w:rsidRPr="006757D4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https://commission.europa.eu/document/download/3c257883-bb2a-4dd9-a6dc-501d587bb34f_en?filename=faq-empowerting-consumers-gtd.pdf</w:t>
                    </w:r>
                  </w:hyperlink>
                </w:p>
                <w:p w14:paraId="43AA5F96" w14:textId="77777777" w:rsidR="00803525" w:rsidRDefault="00803525" w:rsidP="00803525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</w:p>
                <w:p w14:paraId="60C43E75" w14:textId="1758C5D6" w:rsidR="006757D4" w:rsidRPr="006757D4" w:rsidRDefault="006757D4" w:rsidP="00803525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37" w:history="1"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RASFF NOTIFICATION: 2026/24 (08/06/</w:t>
                    </w:r>
                    <w:proofErr w:type="gramStart"/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2026 -</w:t>
                    </w:r>
                    <w:proofErr w:type="gramEnd"/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 xml:space="preserve"> 14/06/2026)</w:t>
                    </w:r>
                  </w:hyperlink>
                </w:p>
                <w:p w14:paraId="0847D431" w14:textId="77777777" w:rsidR="00803525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Please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find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below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a 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report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compiling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RASFF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notifications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week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2026/24 (08/06/</w:t>
                  </w:r>
                  <w:proofErr w:type="gram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2026 -</w:t>
                  </w:r>
                  <w:proofErr w:type="gram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14/06/2026).</w:t>
                  </w:r>
                </w:p>
                <w:p w14:paraId="1A3613D8" w14:textId="7C634B2C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Information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provided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report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based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RASFF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notifications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published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DG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SANTE’s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online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database</w:t>
                  </w:r>
                  <w:proofErr w:type="spellEnd"/>
                </w:p>
                <w:p w14:paraId="75AC3BA4" w14:textId="77777777" w:rsidR="00803525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38" w:history="1">
                    <w:r w:rsidRPr="006757D4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FRUCOMRASFF2026_Week24</w:t>
                    </w:r>
                  </w:hyperlink>
                  <w:hyperlink r:id="rId39" w:history="1">
                    <w:r w:rsidRPr="006757D4">
                      <w:rPr>
                        <w:rFonts w:ascii="Arial" w:eastAsia="Times New Roman" w:hAnsi="Arial" w:cs="Arial"/>
                        <w:color w:val="2D2D38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br/>
                    </w:r>
                  </w:hyperlink>
                </w:p>
                <w:p w14:paraId="5147600B" w14:textId="6D807F9A" w:rsidR="006757D4" w:rsidRPr="00803525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r w:rsidRPr="006757D4">
                    <w:rPr>
                      <w:rFonts w:ascii="Arial" w:eastAsia="Times New Roman" w:hAnsi="Arial" w:cs="Arial"/>
                      <w:color w:val="FF8C00"/>
                      <w:kern w:val="0"/>
                      <w:sz w:val="45"/>
                      <w:szCs w:val="45"/>
                      <w:lang w:eastAsia="tr-TR"/>
                      <w14:ligatures w14:val="none"/>
                    </w:rPr>
                    <w:t>DRIED FRUIT &amp; NUTS</w:t>
                  </w:r>
                </w:p>
                <w:p w14:paraId="3A3C678E" w14:textId="77777777" w:rsidR="006757D4" w:rsidRPr="006757D4" w:rsidRDefault="006757D4" w:rsidP="00803525">
                  <w:pPr>
                    <w:spacing w:after="225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:lang w:eastAsia="tr-TR"/>
                      <w14:ligatures w14:val="none"/>
                    </w:rPr>
                  </w:pPr>
                  <w:hyperlink r:id="rId40" w:history="1">
                    <w:r w:rsidRPr="006757D4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UK further consults on autonomous duty suspension until 24 June – concerns nuts &amp; dried fruits</w:t>
                    </w:r>
                  </w:hyperlink>
                </w:p>
                <w:p w14:paraId="3A5D7918" w14:textId="77777777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UK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government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seeking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views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on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tariff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suspensions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agricultural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goods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fertilisers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kerosene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help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mitigate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consumer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impact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conflict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Middle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East.</w:t>
                  </w:r>
                </w:p>
                <w:p w14:paraId="2EFB64A3" w14:textId="77777777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In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May 2026,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UK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implemented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its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fldChar w:fldCharType="begin"/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instrText>HYPERLINK "https://www.gov.uk/guidance/duty-suspensions-and-tariff-quotas"</w:instrText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fldChar w:fldCharType="separate"/>
                  </w: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first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cost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living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tariff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suspensions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package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fldChar w:fldCharType="end"/>
                  </w:r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,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that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will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last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until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December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2028.</w:t>
                  </w:r>
                </w:p>
                <w:p w14:paraId="7D508FA9" w14:textId="77777777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consultation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is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expand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list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products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covered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this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tariff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suspension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package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.</w:t>
                  </w:r>
                </w:p>
                <w:p w14:paraId="16A44D6B" w14:textId="77777777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deadline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>consultation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  <w:t xml:space="preserve"> 24 June</w:t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 </w:t>
                  </w:r>
                  <w:hyperlink r:id="rId41" w:history="1">
                    <w:r w:rsidRPr="006757D4">
                      <w:rPr>
                        <w:rFonts w:ascii="Arial" w:eastAsia="Times New Roman" w:hAnsi="Arial" w:cs="Arial"/>
                        <w:color w:val="2D2D38"/>
                        <w:kern w:val="0"/>
                        <w:bdr w:val="none" w:sz="0" w:space="0" w:color="auto" w:frame="1"/>
                        <w:lang w:eastAsia="tr-TR"/>
                        <w14:ligatures w14:val="none"/>
                      </w:rPr>
                      <w:t>https://www.gov.uk/government/consultations/call-for-input-on-goods-for-cost-of-living-tariff-suspensions</w:t>
                    </w:r>
                  </w:hyperlink>
                </w:p>
                <w:p w14:paraId="383AC1A3" w14:textId="77777777" w:rsidR="006757D4" w:rsidRPr="006757D4" w:rsidRDefault="006757D4" w:rsidP="00803525">
                  <w:pPr>
                    <w:spacing w:after="180" w:line="330" w:lineRule="atLeast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Among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list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of 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fldChar w:fldCharType="begin"/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instrText>HYPERLINK "https://assets.publishing.service.gov.uk/media/6a1712be050971fbebf3bb44/annex-a-goods-for-potential-tariff-suspensions-to-help-mitigate-inflation-caused-by-the-conflict-in-the-middle-east.csv"</w:instrText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fldChar w:fldCharType="separate"/>
                  </w:r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goods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for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potential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tariff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suspensions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help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mitigate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inflation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caused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by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conflict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in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>Middle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:lang w:eastAsia="tr-TR"/>
                      <w14:ligatures w14:val="none"/>
                    </w:rPr>
                    <w:t xml:space="preserve"> East</w:t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fldChar w:fldCharType="end"/>
                  </w:r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 of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potential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interest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to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FRUCOM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members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are</w:t>
                  </w:r>
                  <w:proofErr w:type="spellEnd"/>
                  <w:r w:rsidRPr="006757D4"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  <w:t>:</w:t>
                  </w:r>
                </w:p>
                <w:p w14:paraId="412353CB" w14:textId="791A722D" w:rsidR="006757D4" w:rsidRPr="006757D4" w:rsidRDefault="006757D4" w:rsidP="006757D4">
                  <w:pPr>
                    <w:spacing w:after="180" w:line="330" w:lineRule="atLeast"/>
                    <w:ind w:left="1440"/>
                    <w:rPr>
                      <w:rFonts w:ascii="Arial" w:eastAsia="Times New Roman" w:hAnsi="Arial" w:cs="Arial"/>
                      <w:color w:val="333333"/>
                      <w:kern w:val="0"/>
                      <w:lang w:eastAsia="tr-TR"/>
                      <w14:ligatures w14:val="none"/>
                    </w:rPr>
                  </w:pP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6"/>
                    <w:gridCol w:w="924"/>
                    <w:gridCol w:w="5619"/>
                    <w:gridCol w:w="1147"/>
                  </w:tblGrid>
                  <w:tr w:rsidR="006757D4" w:rsidRPr="006757D4" w14:paraId="5CE19F90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3527AD3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CN8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suspension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E3EAF98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Type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5E323E1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Name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5E4280F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MFN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Tariff</w:t>
                        </w:r>
                        <w:proofErr w:type="spellEnd"/>
                      </w:p>
                    </w:tc>
                  </w:tr>
                  <w:tr w:rsidR="006757D4" w:rsidRPr="006757D4" w14:paraId="75CC9BA9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6B34887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08042090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6F24E7E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8B9FD63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Dried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figs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23A68A0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8.00%</w:t>
                        </w:r>
                      </w:p>
                    </w:tc>
                  </w:tr>
                  <w:tr w:rsidR="006757D4" w:rsidRPr="006757D4" w14:paraId="4C335174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57CA4EB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08119039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9CFB565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06EBE5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Frozen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edible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uncooked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cooked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steaming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boiling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water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other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sweetening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matter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with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a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&lt;= 13%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strawberries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raspberries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blackberries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mulberries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loganberries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black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white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currants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gooseberries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3897AA9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20.00%</w:t>
                        </w:r>
                      </w:p>
                    </w:tc>
                  </w:tr>
                  <w:tr w:rsidR="006757D4" w:rsidRPr="006757D4" w14:paraId="252F1FB8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7C8A17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08131000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6E803CA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DE62BE1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Dried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apricots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22E4C39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4.00%</w:t>
                        </w:r>
                      </w:p>
                    </w:tc>
                  </w:tr>
                  <w:tr w:rsidR="006757D4" w:rsidRPr="006757D4" w14:paraId="5F9AFFB1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BE096B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08133000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2036951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7EBF2B0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Dried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1CA0E80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2.00%</w:t>
                        </w:r>
                      </w:p>
                    </w:tc>
                  </w:tr>
                  <w:tr w:rsidR="006757D4" w:rsidRPr="006757D4" w14:paraId="55000AD0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850162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08134010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36F6CE7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4B1A85E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Dried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peaches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nectarines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E94FECF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4.00%</w:t>
                        </w:r>
                      </w:p>
                    </w:tc>
                  </w:tr>
                  <w:tr w:rsidR="006757D4" w:rsidRPr="006757D4" w14:paraId="52F487E6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DABAF91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08134030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E7B3DFE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9061DE8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Dried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pears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AB5FE96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6.00%</w:t>
                        </w:r>
                      </w:p>
                    </w:tc>
                  </w:tr>
                  <w:tr w:rsidR="006757D4" w:rsidRPr="006757D4" w14:paraId="33A6F6B6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A0E605E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08134050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493B98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240956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Dried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pawpaws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2AF8C5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2.00%</w:t>
                        </w:r>
                      </w:p>
                    </w:tc>
                  </w:tr>
                  <w:tr w:rsidR="006757D4" w:rsidRPr="006757D4" w14:paraId="4B95BF30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753848D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08135012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A10E64B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55FB99F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dried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not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prunes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460AB3B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4.00%</w:t>
                        </w:r>
                      </w:p>
                    </w:tc>
                  </w:tr>
                  <w:tr w:rsidR="006757D4" w:rsidRPr="006757D4" w14:paraId="36819724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AD47C96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08135019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4BC72C3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C8B8EB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dried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apricots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peaches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prunus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persica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nectarina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nectarines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pears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other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edible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dried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prunes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edible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bananas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dates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figs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pineapples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avocados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citrus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grapes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0EFB1B6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8.00%</w:t>
                        </w:r>
                      </w:p>
                    </w:tc>
                  </w:tr>
                  <w:tr w:rsidR="006757D4" w:rsidRPr="006757D4" w14:paraId="68DE92E2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4901C04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08135031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78F9A6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B23FA5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exclusively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dried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E471ADE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4.00%</w:t>
                        </w:r>
                      </w:p>
                    </w:tc>
                  </w:tr>
                  <w:tr w:rsidR="006757D4" w:rsidRPr="006757D4" w14:paraId="6441E1BB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DB5D8F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08135039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4508486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FF8BC88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exclusively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edible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dried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heading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0802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4657B8F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6.00%</w:t>
                        </w:r>
                      </w:p>
                    </w:tc>
                  </w:tr>
                  <w:tr w:rsidR="006757D4" w:rsidRPr="006757D4" w14:paraId="2EB6554E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E7DB965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08135091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83E3833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5FED49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edible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dried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bananas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dates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pineapples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avocados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citrus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grapes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not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figs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exclusively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heading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0801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0802)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C2DA8E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8.00%</w:t>
                        </w:r>
                      </w:p>
                    </w:tc>
                  </w:tr>
                  <w:tr w:rsidR="006757D4" w:rsidRPr="006757D4" w14:paraId="06276656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3F356A6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08135099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94FD274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649962B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edible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dried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bananas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dates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figs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pineapples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avocados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citrus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grapes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figs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012A3E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8.00%</w:t>
                        </w:r>
                      </w:p>
                    </w:tc>
                  </w:tr>
                  <w:tr w:rsidR="006757D4" w:rsidRPr="006757D4" w14:paraId="640A8762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08D9D4D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lastRenderedPageBreak/>
                          <w:t>20019020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3D8655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FB3C62A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genus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capsicum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vinegar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acetic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acid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sweet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peppers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pimentos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EC62F20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4.00%</w:t>
                        </w:r>
                      </w:p>
                    </w:tc>
                  </w:tr>
                  <w:tr w:rsidR="006757D4" w:rsidRPr="006757D4" w14:paraId="386F67C0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2F8B39D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20055100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A0F4EED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853991D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Shelled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beans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Vigna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spp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Phaseolus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spp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otherwise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than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vinegar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acetic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acid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frozen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A25D52A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16.00%</w:t>
                        </w:r>
                      </w:p>
                    </w:tc>
                  </w:tr>
                  <w:tr w:rsidR="006757D4" w:rsidRPr="006757D4" w14:paraId="774B9D0A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4EC132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20055900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FA6C5CA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BFE7FF9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Unshelled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beans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Vigna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spp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Phaseolus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spp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otherwise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than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vinegar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acetic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acid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frozen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D801FAA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16.00%</w:t>
                        </w:r>
                      </w:p>
                    </w:tc>
                  </w:tr>
                  <w:tr w:rsidR="006757D4" w:rsidRPr="006757D4" w14:paraId="5847369A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AD4722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20059910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32B529A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00CA607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genus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capsicum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otherwise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than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vinegar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acetic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acid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sweet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peppers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pimentos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frozen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04A2A58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6.00%</w:t>
                        </w:r>
                      </w:p>
                    </w:tc>
                  </w:tr>
                  <w:tr w:rsidR="006757D4" w:rsidRPr="006757D4" w14:paraId="7FB210FC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F069A78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20060035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B60D657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D0BC54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drained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glac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‚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crystallised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with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a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13%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79B6658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12.00% + 12 GBP / 100 kg</w:t>
                        </w:r>
                      </w:p>
                    </w:tc>
                  </w:tr>
                  <w:tr w:rsidR="006757D4" w:rsidRPr="006757D4" w14:paraId="51A2F53F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D429DA3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20060091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FA66D6D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EC0C824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drained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glac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‚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crystallised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with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a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&lt;= 13%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4CAC2E0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12.00%</w:t>
                        </w:r>
                      </w:p>
                    </w:tc>
                  </w:tr>
                  <w:tr w:rsidR="006757D4" w:rsidRPr="006757D4" w14:paraId="47A5C4BD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3A764F9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20079110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7D9A4A8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38EB923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Citrus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jellies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marmalades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pur‚es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pastes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obtained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cooking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with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30%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homogenised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preparations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subheading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2007.10)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5617A83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20.00% + 19 GBP / 100 kg</w:t>
                        </w:r>
                      </w:p>
                    </w:tc>
                  </w:tr>
                  <w:tr w:rsidR="006757D4" w:rsidRPr="006757D4" w14:paraId="35259AB2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D7955A3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20083051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2D712E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FFDD73A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Grapefruit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segments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but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1 kg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836B0B4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14.00%</w:t>
                        </w:r>
                      </w:p>
                    </w:tc>
                  </w:tr>
                  <w:tr w:rsidR="006757D4" w:rsidRPr="006757D4" w14:paraId="79AFA23D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EAC6611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20083055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6D49E5A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5CBA60F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Mandarins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tangerines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satsumas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clementines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wilkings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similar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citrus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hybrids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but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1 kg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0AE4C3D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18.00%</w:t>
                        </w:r>
                      </w:p>
                    </w:tc>
                  </w:tr>
                  <w:tr w:rsidR="006757D4" w:rsidRPr="006757D4" w14:paraId="41F646B7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1EFF57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20083059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DA7F6D9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FB5B3E8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Citrus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but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1 kg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grapefruit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segments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mandarins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tangerines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satsumas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clementines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wilkings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similar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citrus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hybrids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8C3934A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16.00%</w:t>
                        </w:r>
                      </w:p>
                    </w:tc>
                  </w:tr>
                  <w:tr w:rsidR="006757D4" w:rsidRPr="006757D4" w14:paraId="3CE7B383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003A33D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20083071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69A1CF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1555C30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Grapefruit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segments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but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&lt;= 1 kg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2BE62F8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14.00%</w:t>
                        </w:r>
                      </w:p>
                    </w:tc>
                  </w:tr>
                  <w:tr w:rsidR="006757D4" w:rsidRPr="006757D4" w14:paraId="5241F452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FDE8641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lastRenderedPageBreak/>
                          <w:t>20083075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6D1210A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FED43AB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Mandarins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tangerines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satsumas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clementines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wilkings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similar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citrus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hybrids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but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&lt;= 1 kg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C49B218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16.00%</w:t>
                        </w:r>
                      </w:p>
                    </w:tc>
                  </w:tr>
                  <w:tr w:rsidR="006757D4" w:rsidRPr="006757D4" w14:paraId="6B3927A2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746D11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20083079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2CF6CDE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A904581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Citrus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but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&lt;= 1 kg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grapefruit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segments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mandarins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tangerines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satsumas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clementines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wilkings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similar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citrus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hybrids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BC7634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20.00%</w:t>
                        </w:r>
                      </w:p>
                    </w:tc>
                  </w:tr>
                  <w:tr w:rsidR="006757D4" w:rsidRPr="006757D4" w14:paraId="2403566A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AB26791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20083090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93BE6EF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A17670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Citrus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not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ED8F387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18.00%</w:t>
                        </w:r>
                      </w:p>
                    </w:tc>
                  </w:tr>
                  <w:tr w:rsidR="006757D4" w:rsidRPr="006757D4" w14:paraId="5C64E90F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F16E837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20089703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CD7594E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C89B837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tropical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tropical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=50%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tropical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whether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not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other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sweetening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matter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1 kg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A6CD646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6.00%</w:t>
                        </w:r>
                      </w:p>
                    </w:tc>
                  </w:tr>
                  <w:tr w:rsidR="006757D4" w:rsidRPr="006757D4" w14:paraId="40C71F15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64DD60B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20089705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3192590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6C2B651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tropical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tropical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=50%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tropical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whether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not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other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sweetening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matter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&lt;= 1 kg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6D91353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8.00%</w:t>
                        </w:r>
                      </w:p>
                    </w:tc>
                  </w:tr>
                  <w:tr w:rsidR="006757D4" w:rsidRPr="006757D4" w14:paraId="50EA6183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20050DB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20089712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12AAE6F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D72C019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= 50%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these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with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a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9%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actual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alcoholic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strength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&lt;= 11,85% mas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6406EDF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16.00%</w:t>
                        </w:r>
                      </w:p>
                    </w:tc>
                  </w:tr>
                  <w:tr w:rsidR="006757D4" w:rsidRPr="006757D4" w14:paraId="11B7648D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AABCC22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20089716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BC3239F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83A5A7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= 50%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these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with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9%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actual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alcoholic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strength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11,85% mas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1AE2B15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16.00% + 2.10 GBP / 100 kg</w:t>
                        </w:r>
                      </w:p>
                    </w:tc>
                  </w:tr>
                  <w:tr w:rsidR="006757D4" w:rsidRPr="006757D4" w14:paraId="2205F1BF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399373D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20089732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7E8EA9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D7D5F80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= 50%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these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lastRenderedPageBreak/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spirit, of an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actual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alcoholic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strength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&lt;= 11,85% mas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with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9%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DC5A2DD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lastRenderedPageBreak/>
                          <w:t>14.00%</w:t>
                        </w:r>
                      </w:p>
                    </w:tc>
                  </w:tr>
                  <w:tr w:rsidR="006757D4" w:rsidRPr="006757D4" w14:paraId="74021E84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917F0C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20089736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67D95BC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AE5F5B0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= 50%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these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spirit, of an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actual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alcoholic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strength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11,85% mas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with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9%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30F10BF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16.00%</w:t>
                        </w:r>
                      </w:p>
                    </w:tc>
                  </w:tr>
                  <w:tr w:rsidR="006757D4" w:rsidRPr="006757D4" w14:paraId="34CBDD7B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0599177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20089751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72E2ED0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1C6BE53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= 50%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these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not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 but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1 kg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0804B0B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10.00%</w:t>
                        </w:r>
                      </w:p>
                    </w:tc>
                  </w:tr>
                  <w:tr w:rsidR="006757D4" w:rsidRPr="006757D4" w14:paraId="14F88DBB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BFC9486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20089772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3DA8E2D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28D48B7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= 50%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these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not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 but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which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single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exceeds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50%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total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&lt;= 1 kg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12B4B68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8.00%</w:t>
                        </w:r>
                      </w:p>
                    </w:tc>
                  </w:tr>
                  <w:tr w:rsidR="006757D4" w:rsidRPr="006757D4" w14:paraId="4F87A647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E61F436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20089776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EE274B7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0A453B1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= 50%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these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not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 but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&lt;= 1 kg (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which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single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exceeds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50%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total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B2B8484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12.00%</w:t>
                        </w:r>
                      </w:p>
                    </w:tc>
                  </w:tr>
                  <w:tr w:rsidR="006757D4" w:rsidRPr="006757D4" w14:paraId="295F0CBA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202C20B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20089792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EDAE813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F061711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lastRenderedPageBreak/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= 50%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these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not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= 5 kg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7AFABCF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lastRenderedPageBreak/>
                          <w:t>10.00%</w:t>
                        </w:r>
                      </w:p>
                    </w:tc>
                  </w:tr>
                  <w:tr w:rsidR="006757D4" w:rsidRPr="006757D4" w14:paraId="16948D4C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E77FE08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20089794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C59572B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A71D36E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= 50%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these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not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of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= 4,5 kg but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&lt; 5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BC8EF63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10.00%</w:t>
                        </w:r>
                      </w:p>
                    </w:tc>
                  </w:tr>
                  <w:tr w:rsidR="006757D4" w:rsidRPr="006757D4" w14:paraId="2979C3FD" w14:textId="77777777" w:rsidTr="00803525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BFD587A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20089797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1381F2F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Agrifood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110FFE8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guavas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mangosteens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papaws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papayas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tamarinds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apples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lychees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jackfruit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sapodillo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plums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passion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carambola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pitahaya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incl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mixtures</w:t>
                        </w:r>
                        <w:proofErr w:type="spellEnd"/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&gt;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= 50%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by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weight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these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fruits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coconuts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cashew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brazil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areca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"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betel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"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cola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and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macadamia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nuts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prepared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preserved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not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containing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spirit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or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added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sugar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, in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immediate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packings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a net </w:t>
                        </w:r>
                        <w:proofErr w:type="spell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content</w:t>
                        </w:r>
                        <w:proofErr w:type="spell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 xml:space="preserve"> of </w:t>
                        </w:r>
                        <w:proofErr w:type="gramStart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&lt; 4</w:t>
                        </w:r>
                        <w:proofErr w:type="gramEnd"/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,5 kg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43612BE" w14:textId="77777777" w:rsidR="006757D4" w:rsidRPr="006757D4" w:rsidRDefault="006757D4" w:rsidP="006757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</w:pPr>
                        <w:r w:rsidRPr="006757D4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lang w:eastAsia="tr-TR"/>
                            <w14:ligatures w14:val="none"/>
                          </w:rPr>
                          <w:t>10.00%</w:t>
                        </w:r>
                      </w:p>
                    </w:tc>
                  </w:tr>
                </w:tbl>
                <w:p w14:paraId="3F609264" w14:textId="77777777" w:rsidR="006757D4" w:rsidRPr="006757D4" w:rsidRDefault="006757D4" w:rsidP="006757D4">
                  <w:pPr>
                    <w:spacing w:beforeAutospacing="1" w:after="0" w:afterAutospacing="1" w:line="240" w:lineRule="auto"/>
                    <w:ind w:left="1440"/>
                    <w:rPr>
                      <w:rFonts w:ascii="Arial" w:eastAsia="Times New Roman" w:hAnsi="Arial" w:cs="Arial"/>
                      <w:color w:val="2D2D38"/>
                      <w:kern w:val="0"/>
                      <w:lang w:eastAsia="tr-TR"/>
                      <w14:ligatures w14:val="none"/>
                    </w:rPr>
                  </w:pPr>
                </w:p>
              </w:tc>
            </w:tr>
          </w:tbl>
          <w:p w14:paraId="119DBE43" w14:textId="77777777" w:rsidR="006757D4" w:rsidRPr="006757D4" w:rsidRDefault="006757D4" w:rsidP="006757D4">
            <w:pPr>
              <w:spacing w:after="0" w:line="240" w:lineRule="auto"/>
              <w:rPr>
                <w:rFonts w:ascii="Arial" w:eastAsia="Times New Roman" w:hAnsi="Arial" w:cs="Arial"/>
                <w:color w:val="2D2D38"/>
                <w:kern w:val="0"/>
                <w:lang w:eastAsia="tr-TR"/>
                <w14:ligatures w14:val="none"/>
              </w:rPr>
            </w:pPr>
          </w:p>
        </w:tc>
      </w:tr>
    </w:tbl>
    <w:p w14:paraId="68569F2D" w14:textId="77777777" w:rsidR="00637B4D" w:rsidRDefault="00637B4D"/>
    <w:sectPr w:rsidR="0063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1D01"/>
    <w:multiLevelType w:val="hybridMultilevel"/>
    <w:tmpl w:val="4D260B58"/>
    <w:lvl w:ilvl="0" w:tplc="8D463B6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92"/>
    <w:multiLevelType w:val="multilevel"/>
    <w:tmpl w:val="803E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25D67"/>
    <w:multiLevelType w:val="multilevel"/>
    <w:tmpl w:val="27A4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600818">
    <w:abstractNumId w:val="1"/>
  </w:num>
  <w:num w:numId="2" w16cid:durableId="1265654320">
    <w:abstractNumId w:val="2"/>
  </w:num>
  <w:num w:numId="3" w16cid:durableId="118471046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 w16cid:durableId="204606080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183182435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173940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D4"/>
    <w:rsid w:val="001270A7"/>
    <w:rsid w:val="00637B4D"/>
    <w:rsid w:val="006757D4"/>
    <w:rsid w:val="00803525"/>
    <w:rsid w:val="009B4E5B"/>
    <w:rsid w:val="00F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1CC5"/>
  <w15:chartTrackingRefBased/>
  <w15:docId w15:val="{BD2E0F26-AB7F-4134-956A-30325677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75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5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5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5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5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75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5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5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5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5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5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5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57D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57D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757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57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57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57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75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75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75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75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75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757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757D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757D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75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757D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757D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757D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75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https://eur-lex.europa.eu/legal-content/EN/TXT/?uri=OJ:L_202601206" TargetMode="External"/><Relationship Id="rId39" Type="http://schemas.openxmlformats.org/officeDocument/2006/relationships/hyperlink" Target="https://www.frucom.eu/component/attachments/attachments.html?task=attachment&amp;id=3041" TargetMode="External"/><Relationship Id="rId21" Type="http://schemas.openxmlformats.org/officeDocument/2006/relationships/hyperlink" Target="https://www.frucom.eu/circulars/5957:contaminants-draft-mineral-oils-moh-levels-approved-by-member-states-in-standing-committee-meeting.html" TargetMode="External"/><Relationship Id="rId34" Type="http://schemas.openxmlformats.org/officeDocument/2006/relationships/hyperlink" Target="https://eur-lex.europa.eu/eli/dir/2024/825/oj" TargetMode="External"/><Relationship Id="rId42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41" Type="http://schemas.openxmlformats.org/officeDocument/2006/relationships/hyperlink" Target="https://www.gov.uk/government/consultations/call-for-input-on-goods-for-cost-of-living-tariff-suspensions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https://eur-lex.europa.eu/eli/C/2026/3084/oj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https://food.ec.europa.eu/document/download/4015702b-2adb-4c47-ae6a-4a5170db6752_en?filename=sc_phyto_20260629_ppl_agenda.pdf" TargetMode="External"/><Relationship Id="rId36" Type="http://schemas.openxmlformats.org/officeDocument/2006/relationships/hyperlink" Target="https://commission.europa.eu/document/download/3c257883-bb2a-4dd9-a6dc-501d587bb34f_en?filename=faq-empowerting-consumers-gtd.pdf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s://ec.europa.eu/info/law/better-regulation/have-your-say/initiatives/14445-Corporate-sustainability-due-diligence-development-of-guidelines_en" TargetMode="External"/><Relationship Id="rId31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https://food.ec.europa.eu/food-safety/chemical-safety/contaminants/catalogue_en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https://circabc.europa.eu/ui/group/e0f56e8c-171c-489e-9421-9987745376ae/library/304d2118-0501-419b-8cab-5661964c6626/details?download=true" TargetMode="External"/><Relationship Id="rId35" Type="http://schemas.openxmlformats.org/officeDocument/2006/relationships/hyperlink" Target="https://ec.europa.eu/commission/presscorner/detail/en/inf_26_1097" TargetMode="External"/><Relationship Id="rId43" Type="http://schemas.openxmlformats.org/officeDocument/2006/relationships/theme" Target="theme/theme1.xml"/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s://www.eventbrite.be/e/15-16-october-joint-frucom-ceereal-in-person-event-registration-1988561209107?aff=oddtdtcreator" TargetMode="External"/><Relationship Id="rId25" Type="http://schemas.openxmlformats.org/officeDocument/2006/relationships/hyperlink" Target="https://frucom.eu/circulars/5978:official-controls-commission-draft-increased-controls-revision-june-2026.html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https://www.frucom.eu/component/attachments/attachments.html?task=attachment&amp;id=304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4782</Words>
  <Characters>27260</Characters>
  <Application>Microsoft Office Word</Application>
  <DocSecurity>0</DocSecurity>
  <Lines>227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 ASCIOGUL</dc:creator>
  <cp:keywords/>
  <dc:description/>
  <cp:lastModifiedBy>Oguz ASCIOGUL</cp:lastModifiedBy>
  <cp:revision>1</cp:revision>
  <dcterms:created xsi:type="dcterms:W3CDTF">2026-06-17T08:44:00Z</dcterms:created>
  <dcterms:modified xsi:type="dcterms:W3CDTF">2026-06-17T08:53:00Z</dcterms:modified>
</cp:coreProperties>
</file>