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745E8" w:rsidRPr="001745E8" w14:paraId="08C1D748" w14:textId="77777777">
        <w:trPr>
          <w:jc w:val="center"/>
        </w:trPr>
        <w:tc>
          <w:tcPr>
            <w:tcW w:w="0" w:type="auto"/>
            <w:shd w:val="clear" w:color="auto" w:fill="15323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45E8" w:rsidRPr="001745E8" w14:paraId="13B08A3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6797637F" w14:textId="77777777" w:rsidR="001745E8" w:rsidRPr="001745E8" w:rsidRDefault="001745E8" w:rsidP="001745E8">
                  <w:pPr>
                    <w:spacing w:after="120" w:line="240" w:lineRule="auto"/>
                    <w:jc w:val="both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14:ligatures w14:val="none"/>
                    </w:rPr>
                  </w:pPr>
                  <w:r w:rsidRPr="001745E8"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14:ligatures w14:val="none"/>
                    </w:rPr>
                    <w:t>FRUCOM NEWSLETTER 1/06/2026</w:t>
                  </w:r>
                </w:p>
                <w:p w14:paraId="35D1003D" w14:textId="77777777" w:rsidR="001745E8" w:rsidRPr="001745E8" w:rsidRDefault="001745E8" w:rsidP="003B020A">
                  <w:pPr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FRUCOM ACTIVITIES</w:t>
                  </w:r>
                </w:p>
                <w:p w14:paraId="2E02FCBA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5" w:history="1"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SAVE THE DATE/link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join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17th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4.30 PM CET FRUCOM online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Sustainability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Working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</w:hyperlink>
                </w:p>
                <w:p w14:paraId="43A639DF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6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Nutrition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Communication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Working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, May 28</w:t>
                    </w:r>
                    <w:proofErr w:type="gram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 -</w:t>
                    </w:r>
                    <w:proofErr w:type="gram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report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presentations</w:t>
                    </w:r>
                    <w:proofErr w:type="spellEnd"/>
                  </w:hyperlink>
                </w:p>
                <w:p w14:paraId="5B06F2BB" w14:textId="77777777" w:rsidR="001745E8" w:rsidRPr="001745E8" w:rsidRDefault="001745E8" w:rsidP="003B020A">
                  <w:pPr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ALL PRODUCTS</w:t>
                  </w:r>
                </w:p>
                <w:p w14:paraId="349ADE27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7" w:history="1"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EU-US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agreement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EU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Parliament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International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Committee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vote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joint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text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2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</w:hyperlink>
                </w:p>
                <w:p w14:paraId="34495F6D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8" w:history="1"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EU-US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Council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Parliament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conclude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inter-institutional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negotiations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text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next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step is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vote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at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Parliament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this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text</w:t>
                    </w:r>
                    <w:proofErr w:type="spellEnd"/>
                  </w:hyperlink>
                </w:p>
                <w:p w14:paraId="7DDEA997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9" w:history="1"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Organics: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upcoming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Civil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Dialogue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agenda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(5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)</w:t>
                    </w:r>
                  </w:hyperlink>
                </w:p>
                <w:p w14:paraId="621D139E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0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Acrylamide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updates</w:t>
                    </w:r>
                    <w:proofErr w:type="spellEnd"/>
                  </w:hyperlink>
                </w:p>
                <w:p w14:paraId="108687B7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1" w:history="1"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EU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Mexico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sign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modernised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agreement</w:t>
                    </w:r>
                    <w:proofErr w:type="spellEnd"/>
                  </w:hyperlink>
                </w:p>
                <w:p w14:paraId="14113FDD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2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EU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removes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authorisation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active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substances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methoxyfenozide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penthiopyrad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terpenoid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blend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QRD 460</w:t>
                    </w:r>
                  </w:hyperlink>
                </w:p>
                <w:p w14:paraId="74CBC697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3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EFSA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assesses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proquinazid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as an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endocrine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disruptor</w:t>
                    </w:r>
                    <w:proofErr w:type="spellEnd"/>
                  </w:hyperlink>
                </w:p>
                <w:p w14:paraId="488E8FBB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4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EFSA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assessment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updated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MRLs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acequinocyl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small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fruits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berries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)</w:t>
                    </w:r>
                  </w:hyperlink>
                </w:p>
                <w:p w14:paraId="202CE2F6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5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EU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notifies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WTO of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new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MRLs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imazalil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mandipropamid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several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products</w:t>
                    </w:r>
                    <w:proofErr w:type="spellEnd"/>
                  </w:hyperlink>
                </w:p>
                <w:p w14:paraId="750BABAA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6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Poland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officially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bans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import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products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containing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residues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4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active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substances</w:t>
                    </w:r>
                    <w:proofErr w:type="spellEnd"/>
                  </w:hyperlink>
                </w:p>
                <w:p w14:paraId="5BC590B7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7" w:history="1"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Food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Fraud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April 2026 EU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agri-fraud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suspicions</w:t>
                    </w:r>
                    <w:proofErr w:type="spellEnd"/>
                  </w:hyperlink>
                </w:p>
                <w:p w14:paraId="454DB557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8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Additives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/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draft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stakeholder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letters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EFSA's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gram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data</w:t>
                    </w:r>
                    <w:proofErr w:type="gram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submission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proofErr w:type="gram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system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-</w:t>
                    </w:r>
                    <w:proofErr w:type="gram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your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feedback</w:t>
                    </w:r>
                    <w:proofErr w:type="spellEnd"/>
                  </w:hyperlink>
                </w:p>
                <w:p w14:paraId="5132A3EB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9" w:history="1"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RASFF NOTIFICATION: 2026/21 (18/05/</w:t>
                    </w:r>
                    <w:proofErr w:type="gram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24/05/2026)</w:t>
                    </w:r>
                  </w:hyperlink>
                </w:p>
                <w:p w14:paraId="1EC75BFE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20" w:history="1"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RASFF NOTIFICATION: 2026/22 (25/05/</w:t>
                    </w:r>
                    <w:proofErr w:type="gram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31/05/2026)</w:t>
                    </w:r>
                  </w:hyperlink>
                </w:p>
                <w:p w14:paraId="6120EF25" w14:textId="77777777" w:rsidR="001745E8" w:rsidRPr="001745E8" w:rsidRDefault="001745E8" w:rsidP="003B020A">
                  <w:pPr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DRIED FRUIT &amp; NUTS</w:t>
                  </w:r>
                </w:p>
                <w:p w14:paraId="47835068" w14:textId="77777777" w:rsidR="001745E8" w:rsidRPr="001745E8" w:rsidRDefault="001745E8" w:rsidP="003B020A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21" w:history="1"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Updates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timeline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vote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nickel</w:t>
                    </w:r>
                    <w:proofErr w:type="spellEnd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1745E8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Pecans</w:t>
                    </w:r>
                    <w:proofErr w:type="spellEnd"/>
                  </w:hyperlink>
                </w:p>
              </w:tc>
            </w:tr>
            <w:tr w:rsidR="001745E8" w:rsidRPr="001745E8" w14:paraId="290A764D" w14:textId="77777777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6B2163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</w:p>
              </w:tc>
            </w:tr>
          </w:tbl>
          <w:p w14:paraId="11691E73" w14:textId="77777777" w:rsidR="001745E8" w:rsidRPr="001745E8" w:rsidRDefault="001745E8" w:rsidP="001745E8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  <w:tr w:rsidR="001745E8" w:rsidRPr="001745E8" w14:paraId="28E3FD0C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45E8" w:rsidRPr="001745E8" w14:paraId="526224F5" w14:textId="77777777">
              <w:trPr>
                <w:trHeight w:val="7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6C8CCC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1745E8" w:rsidRPr="001745E8" w14:paraId="1EF22B7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30A359" w14:textId="77777777" w:rsidR="001745E8" w:rsidRPr="001745E8" w:rsidRDefault="001745E8" w:rsidP="001745E8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FRUCOM ACTIVITIES</w:t>
                  </w:r>
                </w:p>
                <w:p w14:paraId="56F746BA" w14:textId="7777777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2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SAVE THE DATE/link to join: 17th June, 4.30 PM CET FRUCOM online Sustainability Working Group</w:t>
                    </w:r>
                  </w:hyperlink>
                </w:p>
                <w:p w14:paraId="67612CA7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co-ordination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Chair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Burcu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Turkay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take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17th, 4.30 PM CET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Brussels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 time.</w:t>
                  </w:r>
                </w:p>
                <w:p w14:paraId="15FAEFC4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6CCF7A9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lastRenderedPageBreak/>
                    <w:t xml:space="preserve">Microsoft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Teams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meeting</w:t>
                  </w:r>
                  <w:proofErr w:type="spellEnd"/>
                </w:p>
                <w:p w14:paraId="1045F6D9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Join:</w: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23" w:tooltip="Meeting join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https://teams.microsoft.com/meet/375208005145196?p=77hyA7wtXaXOkqNop5</w:t>
                    </w:r>
                  </w:hyperlink>
                </w:p>
                <w:p w14:paraId="671B9E40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Meeting ID: 375 208 005 145 196</w:t>
                  </w:r>
                </w:p>
                <w:p w14:paraId="2992D8AA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Passcode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: iq6z54PS</w:t>
                  </w:r>
                </w:p>
                <w:p w14:paraId="018EBC51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be:</w:t>
                  </w:r>
                </w:p>
                <w:p w14:paraId="5BDB18A3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Ø</w: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Play of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affecting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</w:p>
                <w:p w14:paraId="7F4CFB4E" w14:textId="77777777" w:rsidR="001745E8" w:rsidRPr="001745E8" w:rsidRDefault="001745E8" w:rsidP="001745E8">
                  <w:pPr>
                    <w:spacing w:after="120" w:line="240" w:lineRule="auto"/>
                    <w:ind w:firstLine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</w:p>
                <w:p w14:paraId="4751DFB0" w14:textId="77777777" w:rsidR="001745E8" w:rsidRPr="001745E8" w:rsidRDefault="001745E8" w:rsidP="001745E8">
                  <w:pPr>
                    <w:spacing w:after="120" w:line="240" w:lineRule="auto"/>
                    <w:ind w:firstLine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</w:p>
                <w:p w14:paraId="2AFF429F" w14:textId="77777777" w:rsidR="001745E8" w:rsidRPr="001745E8" w:rsidRDefault="001745E8" w:rsidP="001745E8">
                  <w:pPr>
                    <w:spacing w:after="120" w:line="240" w:lineRule="auto"/>
                    <w:ind w:firstLine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Directive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Empowering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Green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Transition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greenwashing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/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environmental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labelling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</w:t>
                  </w:r>
                </w:p>
                <w:p w14:paraId="1DABA5E1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ØExchange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concerns</w:t>
                  </w:r>
                  <w:proofErr w:type="spellEnd"/>
                </w:p>
                <w:p w14:paraId="5D077397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AOB :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invited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AOB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secretariat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24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info@frucom.eu</w:t>
                    </w:r>
                  </w:hyperlink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/ </w:t>
                  </w:r>
                  <w:hyperlink r:id="rId25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lmofolo@frucom.eu</w:t>
                    </w:r>
                  </w:hyperlink>
                </w:p>
                <w:p w14:paraId="2A6FC761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</w:p>
                <w:p w14:paraId="01EA534F" w14:textId="630AA52E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6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Nutrition and Communication Working Group meeting, May 28</w:t>
                    </w:r>
                    <w:proofErr w:type="gramStart"/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th -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report and presentations</w:t>
                    </w:r>
                  </w:hyperlink>
                </w:p>
                <w:p w14:paraId="158A9CF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On May 28th,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meeting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Nutrition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Communication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Working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Group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took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place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focus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future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snacking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role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nuts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peanuts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dried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01B3BFF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Phil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Gowland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WG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chair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Commercial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Director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Director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Health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Whitworths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gave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overview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GLP-1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medications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why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reshaping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conversation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nutrition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snacking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67D74ABA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Sebastian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Emig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Director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General at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Snacks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Association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(ESA)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presented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market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trends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changing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consumer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behaviours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related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snacking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495ABB08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overview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latest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nutrition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communication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activities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Portion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Size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Guidance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Nuts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Peanuts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FRUCOM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steps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Guidance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particularly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funding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8C5FD3F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Meeting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: </w:t>
                  </w:r>
                  <w:hyperlink r:id="rId27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NC WG May 28_report</w:t>
                    </w:r>
                  </w:hyperlink>
                </w:p>
                <w:p w14:paraId="1E911D79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PowerPoint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presentations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:</w:t>
                  </w:r>
                </w:p>
                <w:p w14:paraId="40247EA7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28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FRUCOM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Working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Intro</w:t>
                    </w:r>
                    <w:proofErr w:type="spellEnd"/>
                  </w:hyperlink>
                </w:p>
                <w:p w14:paraId="531BA263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29" w:history="1">
                    <w:proofErr w:type="gram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 -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28 May</w:t>
                    </w:r>
                  </w:hyperlink>
                </w:p>
                <w:p w14:paraId="6631820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30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Martina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Zurli_FRUCOM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Presentation May 2026</w:t>
                    </w:r>
                  </w:hyperlink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52CB04D0" w14:textId="77777777" w:rsidR="001745E8" w:rsidRDefault="001745E8" w:rsidP="001745E8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</w:p>
                <w:p w14:paraId="610FE326" w14:textId="77777777" w:rsidR="001745E8" w:rsidRDefault="001745E8" w:rsidP="001745E8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</w:p>
                <w:p w14:paraId="03656E23" w14:textId="77777777" w:rsidR="001745E8" w:rsidRDefault="001745E8" w:rsidP="001745E8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</w:p>
                <w:p w14:paraId="38D197CF" w14:textId="77777777" w:rsidR="001745E8" w:rsidRDefault="001745E8" w:rsidP="001745E8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</w:p>
                <w:p w14:paraId="2F8DD0FD" w14:textId="1D409CC5" w:rsidR="001745E8" w:rsidRPr="001745E8" w:rsidRDefault="001745E8" w:rsidP="001745E8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lastRenderedPageBreak/>
                    <w:t>ALL PRODUCTS</w:t>
                  </w:r>
                </w:p>
                <w:p w14:paraId="6E974789" w14:textId="7777777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1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EU-US trade agreement: EU Parliament International Trade Committee to vote on joint text on 2 June</w:t>
                    </w:r>
                  </w:hyperlink>
                </w:p>
                <w:p w14:paraId="3CA03381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Parliament’s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International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(INTA)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hold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extraordinary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several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8E4A285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2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9:00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10:00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provisional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resulting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interinstitutional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negotiations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so-called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"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Turnberry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"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two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pieces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commitments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August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2025 EU-US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Statement.</w:t>
                  </w:r>
                </w:p>
                <w:p w14:paraId="263BAD2C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compromise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text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reached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trilogue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negotiations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20 May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representing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5A6F3731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Should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INTA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favour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compromise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text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text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Parliament’s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Plenary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on 16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</w:t>
                  </w:r>
                </w:p>
                <w:p w14:paraId="0095B2A0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17D0B431" w14:textId="5BB9C3B4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2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EU-US trade: Council and Parliament conclude inter-institutional negotiations on text, next step is vote at Parliament on this text</w:t>
                    </w:r>
                  </w:hyperlink>
                </w:p>
                <w:p w14:paraId="3C9D74AC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20th May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Parliament’s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Chair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International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(INTA),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confirmed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co-legislators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represented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had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reached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US.</w:t>
                  </w:r>
                </w:p>
                <w:p w14:paraId="7F91BF26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changes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text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co-legislators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would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would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155F1EC0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Sunset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clause</w:t>
                  </w:r>
                  <w:proofErr w:type="spellEnd"/>
                </w:p>
                <w:p w14:paraId="7D2B6EA8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industrial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agri-food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expire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31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2029.</w:t>
                  </w:r>
                </w:p>
                <w:p w14:paraId="06412B1B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Strengthened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suspension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clause</w:t>
                  </w:r>
                  <w:proofErr w:type="spellEnd"/>
                </w:p>
                <w:p w14:paraId="0D1F58E5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fails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Union’s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treatment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exports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24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February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benefitted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15%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all-inclusive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ceiling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6A1F18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Safeguard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mechanism</w:t>
                  </w:r>
                  <w:proofErr w:type="spellEnd"/>
                </w:p>
                <w:p w14:paraId="0DBAB111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co-legislators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safeguard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mechanism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event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granted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lead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threaten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cause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serious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injury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industry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E278C6D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text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formally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co-legislators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EU’s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</w:p>
                <w:p w14:paraId="5E4314BA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4E7F0953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https://www.europarl.europa.eu/news/en/press-room/20260518IPR43407/agreement-reached-to-put-eu-us-trade-on-a-more-stable-footing</w:t>
                  </w:r>
                </w:p>
                <w:p w14:paraId="31D817F4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6F97B58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</w:p>
                <w:p w14:paraId="54B2CDEE" w14:textId="4A1BC8F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3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Organics: upcoming Civil Dialogue Group meeting agenda (5 June)</w:t>
                    </w:r>
                  </w:hyperlink>
                </w:p>
                <w:p w14:paraId="6A9306E3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participate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upcoming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Civil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Dialogue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on 5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57C3418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cover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such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as:</w:t>
                  </w:r>
                </w:p>
                <w:p w14:paraId="28E73956" w14:textId="77777777" w:rsidR="001745E8" w:rsidRPr="001745E8" w:rsidRDefault="001745E8" w:rsidP="003B020A">
                  <w:pPr>
                    <w:numPr>
                      <w:ilvl w:val="2"/>
                      <w:numId w:val="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 Organic Action Plan.</w:t>
                  </w:r>
                </w:p>
                <w:p w14:paraId="498F700F" w14:textId="77777777" w:rsidR="001745E8" w:rsidRPr="001745E8" w:rsidRDefault="001745E8" w:rsidP="003B020A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Organic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Simplification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initiative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34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https://www.frucom.eu/circulars/5956:organics-council-agrees-on-mandate-for-negotiations-with-european-parliament-targeted-simplification.html</w:t>
                    </w:r>
                  </w:hyperlink>
                </w:p>
                <w:p w14:paraId="1ECAC4CB" w14:textId="77777777" w:rsidR="001745E8" w:rsidRPr="001745E8" w:rsidRDefault="001745E8" w:rsidP="003B020A">
                  <w:pPr>
                    <w:numPr>
                      <w:ilvl w:val="2"/>
                      <w:numId w:val="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Report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29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2018/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848 -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35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https://www.frucom.eu/circulars/5938:organics-commission-report-on-the-presence-and-management-of-non-authorised-substances-in-organic-products.html</w:t>
                    </w:r>
                  </w:hyperlink>
                </w:p>
                <w:p w14:paraId="63EC7550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attachment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 </w:t>
                  </w:r>
                  <w:hyperlink r:id="rId36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2026-06-05 CDG Organic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Farming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Agenda</w:t>
                    </w:r>
                    <w:proofErr w:type="spellEnd"/>
                  </w:hyperlink>
                </w:p>
                <w:p w14:paraId="10122940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77802DE0" w14:textId="2DE6F35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7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Contaminants: Acrylamide updates</w:t>
                    </w:r>
                  </w:hyperlink>
                </w:p>
                <w:p w14:paraId="0B6CEFFA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timing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Acrylamide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D3F03BD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FRUCOM's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Nuts WG: </w:t>
                  </w:r>
                  <w:hyperlink r:id="rId38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https://www.frucom.eu/circulars/5917:frucom-dried-fruit-and-nuts-working-group-21-april-meeting-notes-and-presentations.html</w:t>
                    </w:r>
                  </w:hyperlink>
                </w:p>
                <w:p w14:paraId="257F5329" w14:textId="77777777" w:rsidR="001745E8" w:rsidRPr="001745E8" w:rsidRDefault="001745E8" w:rsidP="003B020A">
                  <w:pPr>
                    <w:numPr>
                      <w:ilvl w:val="2"/>
                      <w:numId w:val="5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(CWG)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planned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mid-June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0A61C25" w14:textId="77777777" w:rsidR="001745E8" w:rsidRPr="001745E8" w:rsidRDefault="001745E8" w:rsidP="003B020A">
                  <w:pPr>
                    <w:numPr>
                      <w:ilvl w:val="2"/>
                      <w:numId w:val="6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targeted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’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consultation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sent at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deadline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early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September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</w:t>
                  </w:r>
                </w:p>
                <w:p w14:paraId="1F927F86" w14:textId="77777777" w:rsidR="001745E8" w:rsidRPr="001745E8" w:rsidRDefault="001745E8" w:rsidP="003B020A">
                  <w:pPr>
                    <w:numPr>
                      <w:ilvl w:val="2"/>
                      <w:numId w:val="7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stakeholder’s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forum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take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6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</w:t>
                  </w:r>
                </w:p>
                <w:p w14:paraId="5233077A" w14:textId="77777777" w:rsidR="001745E8" w:rsidRPr="001745E8" w:rsidRDefault="001745E8" w:rsidP="003B020A">
                  <w:pPr>
                    <w:numPr>
                      <w:ilvl w:val="2"/>
                      <w:numId w:val="8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tentative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(SCOPAFF)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could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take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September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October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</w:p>
                <w:p w14:paraId="2A895D69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063C11F4" w14:textId="56FC5D05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9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 and Mexico sign modernised trade agreement</w:t>
                    </w:r>
                  </w:hyperlink>
                </w:p>
                <w:p w14:paraId="49898007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During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8th EU–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Mexico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Summit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May 2026,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Mexico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signed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Modernised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Global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Interim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B0163D6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represented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President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Ursula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der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Leyen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President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António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Costa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High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Representative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Foreign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Affairs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Security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Kaja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Kallas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Economic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Security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Maroš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Šefčovič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F5FD3AC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Next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steps</w:t>
                  </w:r>
                  <w:proofErr w:type="spellEnd"/>
                </w:p>
                <w:p w14:paraId="5A483989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signature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Modernised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Global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Interim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Mexico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their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respective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ratify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FD4249F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Modernised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Global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ratification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their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88DB829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 xml:space="preserve">At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Interim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EU-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ratification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it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falls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exclusive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competences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decision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FDED2E9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Interim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expire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Modernised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Global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24E229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Modernised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Global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(MGA)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interim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):</w:t>
                  </w:r>
                </w:p>
                <w:p w14:paraId="0A90DA10" w14:textId="77777777" w:rsidR="001745E8" w:rsidRPr="001745E8" w:rsidRDefault="001745E8" w:rsidP="001745E8">
                  <w:pPr>
                    <w:spacing w:after="12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"https://ec.europa.eu/commission/presscorner/detail/en/qanda_25_249"</w:instrTex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Questions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answers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</w:p>
                <w:p w14:paraId="720A52EE" w14:textId="77777777" w:rsidR="001745E8" w:rsidRPr="001745E8" w:rsidRDefault="001745E8" w:rsidP="001745E8">
                  <w:pPr>
                    <w:spacing w:after="12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"https://ec.europa.eu/commission/presscorner/detail/en/FS_25_276"</w:instrTex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Infographic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–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Key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Facts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</w:p>
                <w:p w14:paraId="111C715C" w14:textId="77777777" w:rsidR="001745E8" w:rsidRPr="001745E8" w:rsidRDefault="001745E8" w:rsidP="001745E8">
                  <w:pPr>
                    <w:spacing w:after="12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"https://policy.trade.ec.europa.eu/eu-trade-relationships-country-and-region/countries-and-regions/mexico/eu-mexico-agreement/factsheet-eu-mexico-modernised-global-agreement-general-benefits_en"</w:instrTex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Factsheet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General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benefits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</w:p>
                <w:p w14:paraId="0B359930" w14:textId="77777777" w:rsidR="001745E8" w:rsidRPr="001745E8" w:rsidRDefault="001745E8" w:rsidP="001745E8">
                  <w:pPr>
                    <w:spacing w:after="12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"https://policy.trade.ec.europa.eu/eu-trade-relationships-country-and-region/countries-and-regions/mexico/eu-mexico-agreement/factsheet-eu-mexico-modernised-global-agreement-agreement-european-farmers_en"</w:instrTex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Factsheet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Agriculture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</w:p>
                <w:p w14:paraId="224273D9" w14:textId="77777777" w:rsidR="001745E8" w:rsidRPr="001745E8" w:rsidRDefault="001745E8" w:rsidP="001745E8">
                  <w:pPr>
                    <w:spacing w:after="12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"https://policy.trade.ec.europa.eu/eu-trade-relationships-country-and-region/countries-and-regions/mexico/eu-mexico-agreement/factsheet-eu-mexico-modernised-global-agreement-critical-raw-materials_en"</w:instrTex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Factsheet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Critical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raw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materials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</w:p>
                <w:p w14:paraId="6A630227" w14:textId="77777777" w:rsidR="001745E8" w:rsidRPr="001745E8" w:rsidRDefault="001745E8" w:rsidP="001745E8">
                  <w:pPr>
                    <w:spacing w:after="12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"https://policy.trade.ec.europa.eu/eu-trade-relationships-country-and-region/countries-and-regions/mexico/eu-mexico-agreement/factsheet-eu-mexico-modernised-global-agreement-trade-and-sustainable-development_en"</w:instrTex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Factsheet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Sustainability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</w:p>
                <w:p w14:paraId="73568674" w14:textId="77777777" w:rsidR="001745E8" w:rsidRPr="001745E8" w:rsidRDefault="001745E8" w:rsidP="001745E8">
                  <w:pPr>
                    <w:spacing w:after="12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0" w:history="1"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Appendix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gram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B -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Tariff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Rate </w:t>
                    </w:r>
                    <w:proofErr w:type="spellStart"/>
                    <w:proofErr w:type="gram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Quotas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-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EU</w:t>
                    </w:r>
                  </w:hyperlink>
                </w:p>
                <w:p w14:paraId="59710CBF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circular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TRQs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FRUCOM: </w:t>
                  </w:r>
                  <w:hyperlink r:id="rId41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https://frucom.eu/circulars/5947:eu-mexico-eu-council-endorses-on-trade-agreement-with-mexico.html</w:t>
                    </w:r>
                  </w:hyperlink>
                </w:p>
                <w:p w14:paraId="6102D7EC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42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https://ec.europa.eu/commission/presscorner/detail/en/ip_26_1136</w:t>
                    </w:r>
                  </w:hyperlink>
                </w:p>
                <w:p w14:paraId="73D3E6AC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52A6AD7A" w14:textId="73ADF66F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3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EU removes authorisation for the active substances methoxyfenozide, penthiopyrad and terpenoid blend QRD 460</w:t>
                    </w:r>
                  </w:hyperlink>
                </w:p>
                <w:p w14:paraId="5F59FD08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(EU) 2026/1154 of 29 May 2026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No 540/2011 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deletion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methoxyfenozide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penthiopyrad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terpenoid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blend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QRD 460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(EC) No 1107/2009.</w:t>
                  </w:r>
                </w:p>
                <w:p w14:paraId="1A4D0256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referenced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thus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longer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EU.</w:t>
                  </w:r>
                </w:p>
                <w:p w14:paraId="175F5C56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twentieth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29 May).</w:t>
                  </w:r>
                </w:p>
                <w:p w14:paraId="40660078" w14:textId="77777777" w:rsidR="001745E8" w:rsidRPr="001745E8" w:rsidRDefault="001745E8" w:rsidP="001745E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 </w:t>
                  </w:r>
                  <w:hyperlink r:id="rId44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https://eur-lex.europa.eu/legal-content/EN/TXT/?uri=OJ:L_202601154 </w:t>
                    </w:r>
                  </w:hyperlink>
                </w:p>
                <w:p w14:paraId="3686AD69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68F61E9F" w14:textId="2345597C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5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EFSA assesses proquinazid as an endocrine disruptor</w:t>
                    </w:r>
                  </w:hyperlink>
                </w:p>
                <w:p w14:paraId="4501A31C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(EFSA)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review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proquinazid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ADB51D8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conclusions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7ADFC227" w14:textId="77777777" w:rsidR="001745E8" w:rsidRPr="001745E8" w:rsidRDefault="001745E8" w:rsidP="003B020A">
                  <w:pPr>
                    <w:numPr>
                      <w:ilvl w:val="2"/>
                      <w:numId w:val="9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Proquinazid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is an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endocrine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disruptor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(ED)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humans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leading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critical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area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concern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5284794" w14:textId="77777777" w:rsidR="001745E8" w:rsidRPr="001745E8" w:rsidRDefault="001745E8" w:rsidP="003B020A">
                  <w:pPr>
                    <w:numPr>
                      <w:ilvl w:val="2"/>
                      <w:numId w:val="10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ecotoxicology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concluded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birds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mammals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acute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aquatic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organisms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organisms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non-target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terrestrial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organisms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involved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biological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methods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sewage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treatment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 A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high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long-term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risk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mammals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high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in-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field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risk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non-target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arthropods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bees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concluded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several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representative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uses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54EEAE2" w14:textId="77777777" w:rsidR="001745E8" w:rsidRPr="001745E8" w:rsidRDefault="001745E8" w:rsidP="003B020A">
                  <w:pPr>
                    <w:numPr>
                      <w:ilvl w:val="2"/>
                      <w:numId w:val="11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mammalian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toxicology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gaps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identified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F95AC27" w14:textId="77777777" w:rsidR="001745E8" w:rsidRPr="001745E8" w:rsidRDefault="001745E8" w:rsidP="003B020A">
                  <w:pPr>
                    <w:numPr>
                      <w:ilvl w:val="2"/>
                      <w:numId w:val="1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consumption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drinking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water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multiple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gaps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BFA3C06" w14:textId="77777777" w:rsidR="001745E8" w:rsidRPr="001745E8" w:rsidRDefault="001745E8" w:rsidP="003B020A">
                  <w:pPr>
                    <w:numPr>
                      <w:ilvl w:val="2"/>
                      <w:numId w:val="1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area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environmental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behaviour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gap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9DD5C38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Small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C277FFF" w14:textId="77777777" w:rsidR="001745E8" w:rsidRPr="001745E8" w:rsidRDefault="001745E8" w:rsidP="001745E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46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https://efsa.onlinelibrary.wiley.com/doi/10.2903/j.efsa.2026.10063</w:t>
                    </w:r>
                  </w:hyperlink>
                </w:p>
                <w:p w14:paraId="524EF3B5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58D3FE55" w14:textId="77715821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7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EFSA assessment on updated MRLs for acequinocyl (small fruits and berries)</w:t>
                    </w:r>
                  </w:hyperlink>
                </w:p>
                <w:p w14:paraId="57D0E48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EFSA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modification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existing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acequinocyl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berries</w:t>
                  </w:r>
                  <w:proofErr w:type="spellEnd"/>
                </w:p>
                <w:p w14:paraId="03DB431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submitted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MRL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found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sufficient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derive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MRL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0.8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mg/kg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higher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MRL (2 mg/kg)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(not yet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several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context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MRL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honey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modification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MRL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</w:p>
                <w:p w14:paraId="0DA8B5FA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(mg/kg)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1C59E049" w14:textId="77777777" w:rsidR="001745E8" w:rsidRPr="001745E8" w:rsidRDefault="001745E8" w:rsidP="003B020A">
                  <w:pPr>
                    <w:numPr>
                      <w:ilvl w:val="2"/>
                      <w:numId w:val="1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Blackberries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3EFE074B" w14:textId="77777777" w:rsidR="001745E8" w:rsidRPr="001745E8" w:rsidRDefault="001745E8" w:rsidP="003B020A">
                  <w:pPr>
                    <w:numPr>
                      <w:ilvl w:val="2"/>
                      <w:numId w:val="1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Dewberries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326A999F" w14:textId="77777777" w:rsidR="001745E8" w:rsidRPr="001745E8" w:rsidRDefault="001745E8" w:rsidP="003B020A">
                  <w:pPr>
                    <w:numPr>
                      <w:ilvl w:val="2"/>
                      <w:numId w:val="1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Raspberries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yellow</w:t>
                  </w:r>
                  <w:proofErr w:type="spellEnd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3E942647" w14:textId="77777777" w:rsidR="001745E8" w:rsidRPr="001745E8" w:rsidRDefault="001745E8" w:rsidP="003B020A">
                  <w:pPr>
                    <w:numPr>
                      <w:ilvl w:val="2"/>
                      <w:numId w:val="1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548D5080" w14:textId="77777777" w:rsidR="001745E8" w:rsidRPr="001745E8" w:rsidRDefault="001745E8" w:rsidP="003B020A">
                  <w:pPr>
                    <w:numPr>
                      <w:ilvl w:val="2"/>
                      <w:numId w:val="18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Blueberries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 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4C562F1E" w14:textId="77777777" w:rsidR="001745E8" w:rsidRPr="001745E8" w:rsidRDefault="001745E8" w:rsidP="003B020A">
                  <w:pPr>
                    <w:numPr>
                      <w:ilvl w:val="2"/>
                      <w:numId w:val="19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Cranberries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215A6BF7" w14:textId="77777777" w:rsidR="001745E8" w:rsidRPr="001745E8" w:rsidRDefault="001745E8" w:rsidP="003B020A">
                  <w:pPr>
                    <w:numPr>
                      <w:ilvl w:val="2"/>
                      <w:numId w:val="20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black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white</w:t>
                  </w:r>
                  <w:proofErr w:type="spellEnd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24ECA2F2" w14:textId="77777777" w:rsidR="001745E8" w:rsidRPr="001745E8" w:rsidRDefault="001745E8" w:rsidP="003B020A">
                  <w:pPr>
                    <w:numPr>
                      <w:ilvl w:val="2"/>
                      <w:numId w:val="21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Gooseberries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green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yellow</w:t>
                  </w:r>
                  <w:proofErr w:type="spellEnd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2533EAF1" w14:textId="77777777" w:rsidR="001745E8" w:rsidRPr="001745E8" w:rsidRDefault="001745E8" w:rsidP="003B020A">
                  <w:pPr>
                    <w:numPr>
                      <w:ilvl w:val="2"/>
                      <w:numId w:val="2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Rose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hips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53C8EEE6" w14:textId="77777777" w:rsidR="001745E8" w:rsidRPr="001745E8" w:rsidRDefault="001745E8" w:rsidP="003B020A">
                  <w:pPr>
                    <w:numPr>
                      <w:ilvl w:val="2"/>
                      <w:numId w:val="2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Mulberries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black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white</w:t>
                  </w:r>
                  <w:proofErr w:type="spellEnd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5E81D51B" w14:textId="77777777" w:rsidR="001745E8" w:rsidRPr="001745E8" w:rsidRDefault="001745E8" w:rsidP="003B020A">
                  <w:pPr>
                    <w:numPr>
                      <w:ilvl w:val="2"/>
                      <w:numId w:val="2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Azarole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Mediteranean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medlar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35D947B3" w14:textId="77777777" w:rsidR="001745E8" w:rsidRPr="001745E8" w:rsidRDefault="001745E8" w:rsidP="003B020A">
                  <w:pPr>
                    <w:numPr>
                      <w:ilvl w:val="2"/>
                      <w:numId w:val="2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Elderberries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0.01).</w:t>
                  </w:r>
                </w:p>
                <w:p w14:paraId="6BA05E2A" w14:textId="77777777" w:rsidR="001745E8" w:rsidRPr="001745E8" w:rsidRDefault="001745E8" w:rsidP="003B020A">
                  <w:pPr>
                    <w:numPr>
                      <w:ilvl w:val="2"/>
                      <w:numId w:val="2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&amp;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02495DAF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39BAFC1" w14:textId="77777777" w:rsidR="001745E8" w:rsidRPr="001745E8" w:rsidRDefault="001745E8" w:rsidP="001745E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48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https://efsa.onlinelibrary.wiley.com/doi/10.2903/j.efsa.2026.10101</w:t>
                    </w:r>
                  </w:hyperlink>
                </w:p>
                <w:p w14:paraId="56166E44" w14:textId="7777777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9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EU notifies WTO of new MRLs for imazalil and mandipropamid in several products</w:t>
                    </w:r>
                  </w:hyperlink>
                </w:p>
                <w:p w14:paraId="3591191F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WTO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carbofuran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imazalil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mandipropamid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propaquizafop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quizalofop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-P-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ethyl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quizalofop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-P-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tefuryl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(mg/kg):</w:t>
                  </w:r>
                </w:p>
                <w:p w14:paraId="1A7D7BC0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Imazalil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5B014526" w14:textId="77777777" w:rsidR="001745E8" w:rsidRPr="001745E8" w:rsidRDefault="001745E8" w:rsidP="003B020A">
                  <w:pPr>
                    <w:numPr>
                      <w:ilvl w:val="2"/>
                      <w:numId w:val="2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Citrus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7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4, 5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5AC698D2" w14:textId="77777777" w:rsidR="001745E8" w:rsidRPr="001745E8" w:rsidRDefault="001745E8" w:rsidP="003B020A">
                  <w:pPr>
                    <w:numPr>
                      <w:ilvl w:val="2"/>
                      <w:numId w:val="28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Bananas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0.01).</w:t>
                  </w:r>
                </w:p>
                <w:p w14:paraId="0FE19E36" w14:textId="77777777" w:rsidR="001745E8" w:rsidRPr="001745E8" w:rsidRDefault="001745E8" w:rsidP="003B020A">
                  <w:pPr>
                    <w:numPr>
                      <w:ilvl w:val="2"/>
                      <w:numId w:val="29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Cucumbers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0.5).</w:t>
                  </w:r>
                </w:p>
                <w:p w14:paraId="5D7F4300" w14:textId="77777777" w:rsidR="001745E8" w:rsidRPr="001745E8" w:rsidRDefault="001745E8" w:rsidP="003B020A">
                  <w:pPr>
                    <w:numPr>
                      <w:ilvl w:val="2"/>
                      <w:numId w:val="30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Gherkins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0.5).</w:t>
                  </w:r>
                </w:p>
                <w:p w14:paraId="763A387B" w14:textId="77777777" w:rsidR="001745E8" w:rsidRPr="001745E8" w:rsidRDefault="001745E8" w:rsidP="003B020A">
                  <w:pPr>
                    <w:numPr>
                      <w:ilvl w:val="2"/>
                      <w:numId w:val="31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Courgettes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0.1)</w:t>
                  </w:r>
                </w:p>
                <w:p w14:paraId="3295AC96" w14:textId="77777777" w:rsidR="001745E8" w:rsidRPr="001745E8" w:rsidRDefault="001745E8" w:rsidP="003B020A">
                  <w:pPr>
                    <w:numPr>
                      <w:ilvl w:val="2"/>
                      <w:numId w:val="3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2).</w:t>
                  </w:r>
                </w:p>
                <w:p w14:paraId="330AD188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Mandipropamid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41151C7B" w14:textId="77777777" w:rsidR="001745E8" w:rsidRPr="001745E8" w:rsidRDefault="001745E8" w:rsidP="003B020A">
                  <w:pPr>
                    <w:numPr>
                      <w:ilvl w:val="2"/>
                      <w:numId w:val="3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Sweet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peppers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peppers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0.07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1).</w:t>
                  </w:r>
                </w:p>
                <w:p w14:paraId="61F27EDC" w14:textId="77777777" w:rsidR="001745E8" w:rsidRPr="001745E8" w:rsidRDefault="001745E8" w:rsidP="003B020A">
                  <w:pPr>
                    <w:numPr>
                      <w:ilvl w:val="2"/>
                      <w:numId w:val="3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Cucurbits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inedible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0.4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0.5, 0.4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0.3).</w:t>
                  </w:r>
                </w:p>
                <w:p w14:paraId="2EF9B88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imazalil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Mandipropamid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30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2025.</w:t>
                  </w:r>
                </w:p>
                <w:p w14:paraId="3D280CFF" w14:textId="77777777" w:rsidR="001745E8" w:rsidRPr="001745E8" w:rsidRDefault="001745E8" w:rsidP="001745E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50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https://epingalert.org/en/Search/Index?countryIds=U918&amp;viewData=%20G%2FSPS%2FN%2FEU%2F943</w:t>
                    </w:r>
                  </w:hyperlink>
                </w:p>
                <w:p w14:paraId="71BF4B8B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1A9B7305" w14:textId="1363ABB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51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Poland officially bans import of products containing residues of 4 active substances</w:t>
                    </w:r>
                  </w:hyperlink>
                </w:p>
                <w:p w14:paraId="58984E26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Poland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lowers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carbendazim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benomyl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glufosinate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thiophanate-methyl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It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apply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7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Polish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market</w:t>
                  </w: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5FADEA5" w14:textId="77777777" w:rsidR="001745E8" w:rsidRPr="001745E8" w:rsidRDefault="001745E8" w:rsidP="001745E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circular: </w:t>
                  </w:r>
                  <w:hyperlink r:id="rId52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https://frucom.eu/circulars/5863:pesticides-poland-bans-import-of-products-containing-residues-of-5-active-substances.html</w:t>
                    </w:r>
                  </w:hyperlink>
                </w:p>
                <w:p w14:paraId="643C4DC9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(mg/kg)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7880FCCC" w14:textId="77777777" w:rsidR="001745E8" w:rsidRPr="001745E8" w:rsidRDefault="001745E8" w:rsidP="003B020A">
                  <w:pPr>
                    <w:numPr>
                      <w:ilvl w:val="2"/>
                      <w:numId w:val="3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Carbendazim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(0.01):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apricots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grapefruit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grapes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lemons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limes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mandarins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mangoes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medlars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oranges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peaches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papayas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plums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quinces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pome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beans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Brussels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sprouts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eggplants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mushrooms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tomatoes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barley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honey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76F03B7" w14:textId="77777777" w:rsidR="001745E8" w:rsidRPr="001745E8" w:rsidRDefault="001745E8" w:rsidP="003B020A">
                  <w:pPr>
                    <w:numPr>
                      <w:ilvl w:val="2"/>
                      <w:numId w:val="3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Glufosinate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(0.03):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eggplants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papayas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beans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potatoes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tomatoes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8EE42A5" w14:textId="77777777" w:rsidR="001745E8" w:rsidRPr="001745E8" w:rsidRDefault="001745E8" w:rsidP="003B020A">
                  <w:pPr>
                    <w:numPr>
                      <w:ilvl w:val="2"/>
                      <w:numId w:val="3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Thiophanate-methyl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(0.01):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apricots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cherries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grapefruit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grapes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lemons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limes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mandarins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mangoes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medlars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melons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oranges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peaches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papayas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plums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quinces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watermelons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pome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Brussels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sprouts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eggplants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okra,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pumpkins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tomatoes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honey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77F927F" w14:textId="77777777" w:rsidR="001745E8" w:rsidRPr="001745E8" w:rsidRDefault="001745E8" w:rsidP="001745E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Polish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53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https://members.wto.org/crnattachments/2026/SPS/POL/26_02678_00_x.pdf</w:t>
                    </w:r>
                  </w:hyperlink>
                </w:p>
                <w:p w14:paraId="66B9EF75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8339618" w14:textId="0A93E4B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54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Food Fraud: April 2026 EU agri-fraud suspicions</w:t>
                    </w:r>
                  </w:hyperlink>
                </w:p>
                <w:p w14:paraId="5E11DD3A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April 2026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edition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monthly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agri-fraud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suspicions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E60D0FC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monthly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covers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feedingstuff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materials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intended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contact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indirectly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animal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welfare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issues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farmed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animals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protection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veterinary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medicinal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inputs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form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33E485D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188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suspicions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retrieved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859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iRASFF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Suspicions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category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576AD227" w14:textId="77777777" w:rsidR="001745E8" w:rsidRPr="001745E8" w:rsidRDefault="001745E8" w:rsidP="003B020A">
                  <w:pPr>
                    <w:numPr>
                      <w:ilvl w:val="2"/>
                      <w:numId w:val="38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Bivalve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molluscs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thereof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Unauthorised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operators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establishments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...)).</w:t>
                  </w:r>
                </w:p>
                <w:p w14:paraId="380D0F1D" w14:textId="77777777" w:rsidR="001745E8" w:rsidRPr="001745E8" w:rsidRDefault="001745E8" w:rsidP="003B020A">
                  <w:pPr>
                    <w:numPr>
                      <w:ilvl w:val="2"/>
                      <w:numId w:val="39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Cephalopods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thereof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Adulteration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ingredient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substitution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)).</w:t>
                  </w:r>
                </w:p>
                <w:p w14:paraId="6809A96B" w14:textId="77777777" w:rsidR="001745E8" w:rsidRPr="001745E8" w:rsidRDefault="001745E8" w:rsidP="003B020A">
                  <w:pPr>
                    <w:numPr>
                      <w:ilvl w:val="2"/>
                      <w:numId w:val="40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Nuts,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seeds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(s) not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EU)).</w:t>
                  </w:r>
                </w:p>
                <w:p w14:paraId="55B55E90" w14:textId="77777777" w:rsidR="001745E8" w:rsidRPr="001745E8" w:rsidRDefault="001745E8" w:rsidP="003B020A">
                  <w:pPr>
                    <w:numPr>
                      <w:ilvl w:val="2"/>
                      <w:numId w:val="41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Fish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fish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8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(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Adulteration</w:t>
                  </w:r>
                  <w:proofErr w:type="spellEnd"/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ingredient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substitution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Unapproved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concealment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enhancement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Undeclared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concealment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enhancement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Method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capture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Quantity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(net,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weight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volume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veterinary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medicines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compliant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29F99B59" w14:textId="77777777" w:rsidR="001745E8" w:rsidRPr="001745E8" w:rsidRDefault="001745E8" w:rsidP="003B020A">
                  <w:pPr>
                    <w:numPr>
                      <w:ilvl w:val="2"/>
                      <w:numId w:val="42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Crustaceans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thereof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8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Additives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compliant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Adulteration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ingredient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substitution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Undeclared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concealment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enhancement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Smuggling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67C9616C" w14:textId="77777777" w:rsidR="001745E8" w:rsidRPr="001745E8" w:rsidRDefault="001745E8" w:rsidP="003B020A">
                  <w:pPr>
                    <w:numPr>
                      <w:ilvl w:val="2"/>
                      <w:numId w:val="43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Fruits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14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Unapproved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concealment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enhancement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Undeclared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concealment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enhancement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Quantity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(net,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weight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volume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Food,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ingredient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(s) not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EU).</w:t>
                  </w:r>
                </w:p>
                <w:p w14:paraId="33AB6000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55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https://food.ec.europa.eu/document/download/3f01d034-4f91-46ff-bdc1-4d2428d6f46b_en?filename=ff_ffn_monthly-report_202604.pdf</w:t>
                    </w:r>
                  </w:hyperlink>
                </w:p>
                <w:p w14:paraId="27509273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0C62B6F7" w14:textId="05ABB522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56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Additives/Contaminants: draft stakeholder letters on EFSA's data submission </w:t>
                    </w:r>
                    <w:proofErr w:type="gramStart"/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system -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for your feedback</w:t>
                    </w:r>
                  </w:hyperlink>
                </w:p>
                <w:p w14:paraId="4211D821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two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letters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associations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CAOBISCO, EDA, ESA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UNESDA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EFSA's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detail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EFSA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FRUCOM's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October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2025 event: </w:t>
                  </w:r>
                  <w:hyperlink r:id="rId57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https://www.frucom.eu/circulars/5602:joint-frucom-ceereal-event-2025-food-safety-discussion.html</w:t>
                    </w:r>
                  </w:hyperlink>
                </w:p>
                <w:p w14:paraId="419D3EE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initiative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extremely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complex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burdensome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EFSA 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both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additives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chemical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occurrence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your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feedback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until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Monday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8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.</w:t>
                  </w:r>
                </w:p>
                <w:p w14:paraId="48823639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letters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attached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4667058B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58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EFSA </w:t>
                    </w:r>
                    <w:proofErr w:type="gram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data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submission_CONTAMINANTS_joint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industry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letter_DRAFT_8 May 2026</w:t>
                    </w:r>
                  </w:hyperlink>
                </w:p>
                <w:p w14:paraId="794C815B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Additives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 </w:t>
                  </w:r>
                  <w:hyperlink r:id="rId59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EFSA </w:t>
                    </w:r>
                    <w:proofErr w:type="gram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data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submission_ADDITIVES_joint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industry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letter_DRAFT</w:t>
                    </w:r>
                    <w:proofErr w:type="spellEnd"/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8 May 2026</w:t>
                    </w:r>
                  </w:hyperlink>
                </w:p>
                <w:p w14:paraId="30D8A921" w14:textId="77777777" w:rsid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5D7E3085" w14:textId="590F08FD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60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RASFF NOTIFICATION: 2026/21 (18/05/</w:t>
                    </w:r>
                    <w:proofErr w:type="gramStart"/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24/05/2026)</w:t>
                    </w:r>
                  </w:hyperlink>
                </w:p>
                <w:p w14:paraId="4D183DA0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compiling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RASFF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2026/21 (18/05/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2026 -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24/05/2026).</w:t>
                  </w:r>
                </w:p>
                <w:p w14:paraId="3600FEC3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Information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RASFF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SANTE’s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</w:p>
                <w:p w14:paraId="5F3A5E4C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61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FRUCOMRASFF2026</w:t>
                    </w:r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_Week21</w:t>
                    </w:r>
                  </w:hyperlink>
                  <w:hyperlink r:id="rId62" w:history="1">
                    <w:r w:rsidRPr="001745E8">
                      <w:rPr>
                        <w:rFonts w:ascii="Arial" w:eastAsia="Times New Roman" w:hAnsi="Arial" w:cs="Arial"/>
                        <w:color w:val="2D2D38"/>
                        <w:kern w:val="0"/>
                        <w:bdr w:val="none" w:sz="0" w:space="0" w:color="auto" w:frame="1"/>
                        <w14:ligatures w14:val="none"/>
                      </w:rPr>
                      <w:br/>
                    </w:r>
                  </w:hyperlink>
                </w:p>
                <w:p w14:paraId="0C8FA94B" w14:textId="7777777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63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RASFF NOTIFICATION: 2026/22 (25/05/</w:t>
                    </w:r>
                    <w:proofErr w:type="gramStart"/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31/05/2026)</w:t>
                    </w:r>
                  </w:hyperlink>
                </w:p>
                <w:p w14:paraId="7E5E6634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FRUCOM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compiling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RASFF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2026/22 (25/05/</w:t>
                  </w:r>
                  <w:proofErr w:type="gram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2026 -</w:t>
                  </w:r>
                  <w:proofErr w:type="gram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31/05/2026).</w:t>
                  </w:r>
                </w:p>
                <w:p w14:paraId="0683CF6E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Information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RASFF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SANTE’s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</w:p>
                <w:p w14:paraId="09B9703A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64" w:history="1"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FRUCOMRASFF</w:t>
                    </w:r>
                    <w:r w:rsidRPr="001745E8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2026_Week22</w:t>
                    </w:r>
                  </w:hyperlink>
                  <w:hyperlink r:id="rId65" w:history="1">
                    <w:r w:rsidRPr="001745E8">
                      <w:rPr>
                        <w:rFonts w:ascii="Arial" w:eastAsia="Times New Roman" w:hAnsi="Arial" w:cs="Arial"/>
                        <w:color w:val="2D2D38"/>
                        <w:kern w:val="0"/>
                        <w:bdr w:val="none" w:sz="0" w:space="0" w:color="auto" w:frame="1"/>
                        <w14:ligatures w14:val="none"/>
                      </w:rPr>
                      <w:br/>
                    </w:r>
                  </w:hyperlink>
                </w:p>
                <w:p w14:paraId="3A3BA2B2" w14:textId="77777777" w:rsidR="001745E8" w:rsidRPr="001745E8" w:rsidRDefault="001745E8" w:rsidP="001745E8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DRIED FRUIT &amp; NUTS</w:t>
                  </w:r>
                </w:p>
                <w:p w14:paraId="1CDD4D19" w14:textId="77777777" w:rsidR="001745E8" w:rsidRPr="001745E8" w:rsidRDefault="001745E8" w:rsidP="001745E8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66" w:history="1">
                    <w:r w:rsidRPr="001745E8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Contaminants: Updates on timeline for vote on nickel in Pecans</w:t>
                    </w:r>
                  </w:hyperlink>
                </w:p>
                <w:p w14:paraId="70E38807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has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nickel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pecans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63E66D7A" w14:textId="77777777" w:rsidR="001745E8" w:rsidRPr="001745E8" w:rsidRDefault="001745E8" w:rsidP="003B020A">
                  <w:pPr>
                    <w:numPr>
                      <w:ilvl w:val="2"/>
                      <w:numId w:val="4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delays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internal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ML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be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previously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A02C1C1" w14:textId="77777777" w:rsidR="001745E8" w:rsidRPr="001745E8" w:rsidRDefault="001745E8" w:rsidP="003B020A">
                  <w:pPr>
                    <w:numPr>
                      <w:ilvl w:val="2"/>
                      <w:numId w:val="4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examining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possibility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already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higher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enforced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through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statement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agreed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19 </w:t>
                  </w:r>
                  <w:proofErr w:type="spellStart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1745E8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</w:t>
                  </w:r>
                </w:p>
                <w:p w14:paraId="76CFDA2F" w14:textId="47F7BC09" w:rsidR="001745E8" w:rsidRPr="001745E8" w:rsidRDefault="001745E8" w:rsidP="001745E8">
                  <w:pPr>
                    <w:spacing w:after="120" w:line="240" w:lineRule="auto"/>
                    <w:ind w:left="1440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</w:tc>
            </w:tr>
            <w:tr w:rsidR="001745E8" w:rsidRPr="001745E8" w14:paraId="0EC98284" w14:textId="77777777">
              <w:trPr>
                <w:trHeight w:val="7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B797D52" w14:textId="77777777" w:rsidR="001745E8" w:rsidRPr="001745E8" w:rsidRDefault="001745E8" w:rsidP="001745E8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</w:tc>
            </w:tr>
          </w:tbl>
          <w:p w14:paraId="63A0BF9E" w14:textId="77777777" w:rsidR="001745E8" w:rsidRPr="001745E8" w:rsidRDefault="001745E8" w:rsidP="001745E8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</w:tbl>
    <w:p w14:paraId="5C197D2D" w14:textId="77777777" w:rsidR="00815CBF" w:rsidRPr="001745E8" w:rsidRDefault="00815CBF" w:rsidP="001745E8">
      <w:pPr>
        <w:spacing w:after="120" w:line="240" w:lineRule="auto"/>
        <w:jc w:val="both"/>
      </w:pPr>
    </w:p>
    <w:sectPr w:rsidR="00815CBF" w:rsidRPr="0017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D12"/>
    <w:multiLevelType w:val="multilevel"/>
    <w:tmpl w:val="FD4C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26083"/>
    <w:multiLevelType w:val="multilevel"/>
    <w:tmpl w:val="ACB6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54830">
    <w:abstractNumId w:val="1"/>
  </w:num>
  <w:num w:numId="2" w16cid:durableId="178568848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" w16cid:durableId="11464542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35527150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153060731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89050534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32867877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508065712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45606624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54830540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158198651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41397015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22533591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209840433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204323954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48766947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55917087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206755905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2128431252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52252017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72741403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86710819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84713666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 w16cid:durableId="81862110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732314632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143412855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39874405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83992565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 w16cid:durableId="76600017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22592248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 w16cid:durableId="197678781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2" w16cid:durableId="7493846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3" w16cid:durableId="135214418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4" w16cid:durableId="198974365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 w16cid:durableId="4248170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192252580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 w16cid:durableId="56711148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8" w16cid:durableId="147124545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9" w16cid:durableId="99807134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82269928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1" w16cid:durableId="71272771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 w16cid:durableId="142550515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3" w16cid:durableId="197356133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4" w16cid:durableId="209816607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5" w16cid:durableId="164057204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88"/>
    <w:rsid w:val="000E1DF4"/>
    <w:rsid w:val="001745E8"/>
    <w:rsid w:val="002761EB"/>
    <w:rsid w:val="0028001B"/>
    <w:rsid w:val="003B020A"/>
    <w:rsid w:val="003D294E"/>
    <w:rsid w:val="00426311"/>
    <w:rsid w:val="0048120F"/>
    <w:rsid w:val="00763EFD"/>
    <w:rsid w:val="00815CBF"/>
    <w:rsid w:val="008F463D"/>
    <w:rsid w:val="00A3694E"/>
    <w:rsid w:val="00A47761"/>
    <w:rsid w:val="00A64A83"/>
    <w:rsid w:val="00AF3879"/>
    <w:rsid w:val="00B33E05"/>
    <w:rsid w:val="00C11CC9"/>
    <w:rsid w:val="00CC15C6"/>
    <w:rsid w:val="00CD0E41"/>
    <w:rsid w:val="00E34288"/>
    <w:rsid w:val="00EF5383"/>
    <w:rsid w:val="00F216AB"/>
    <w:rsid w:val="00F4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4A04"/>
  <w15:chartTrackingRefBased/>
  <w15:docId w15:val="{B1A4880A-334E-46CE-A258-9D98EE3B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428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428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428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428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428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428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428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428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428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428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428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120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https://frucom.eu/circulars/5956:organics-council-agrees-on-mandate-for-negotiations-with-european-parliament-targeted-simplification.html" TargetMode="External"/><Relationship Id="rId42" Type="http://schemas.openxmlformats.org/officeDocument/2006/relationships/hyperlink" Target="https://ec.europa.eu/commission/presscorner/detail/en/ip_26_1136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https://epingalert.org/en/Search/Index?countryIds=U918&amp;viewData=%20G/SPS/N/EU/943" TargetMode="External"/><Relationship Id="rId55" Type="http://schemas.openxmlformats.org/officeDocument/2006/relationships/hyperlink" Target="https://food.ec.europa.eu/document/download/3f01d034-4f91-46ff-bdc1-4d2428d6f46b_en?filename=ff_ffn_monthly-report_202604.pdf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theme" Target="theme/theme1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https://frucom.eu/component/attachments/attachments.html?task=attachment&amp;id=3036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mailto:info@frucom.eu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https://circabc.europa.eu/ui/group/09242a36-a438-40fd-a7af-fe32e36cbd0e/library/5576989d-de04-4f88-88c2-4b2d090f56a8/details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https://members.wto.org/crnattachments/2026/SPS/POL/26_02678_00_x.pdf" TargetMode="External"/><Relationship Id="rId58" Type="http://schemas.openxmlformats.org/officeDocument/2006/relationships/hyperlink" Target="https://frucom.eu/component/attachments/attachments.html?task=attachment&amp;id=3039" TargetMode="External"/><Relationship Id="rId6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61" Type="http://schemas.openxmlformats.org/officeDocument/2006/relationships/hyperlink" Target="https://frucom.eu/component/attachments/attachments.html?task=attachment&amp;id=3021" TargetMode="External"/><Relationship Id="rId1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https://frucom.eu/component/attachments/attachments.html?task=attachment&amp;id=3038" TargetMode="External"/><Relationship Id="rId30" Type="http://schemas.openxmlformats.org/officeDocument/2006/relationships/hyperlink" Target="https://frucom.eu/component/attachments/attachments.html?task=attachment&amp;id=3037" TargetMode="External"/><Relationship Id="rId35" Type="http://schemas.openxmlformats.org/officeDocument/2006/relationships/hyperlink" Target="https://frucom.eu/circulars/5938:organics-commission-report-on-the-presence-and-management-of-non-authorised-substances-in-organic-products.html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https://efsa.onlinelibrary.wiley.com/doi/10.2903/j.efsa.2026.10101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https://frucom.eu/component/attachments/attachments.html?task=attachment&amp;id=3022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mailto:lmofolo@frucom.eu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s://frucom.eu/circulars/5917:frucom-dried-fruit-and-nuts-working-group-21-april-meeting-notes-and-presentations.html" TargetMode="External"/><Relationship Id="rId46" Type="http://schemas.openxmlformats.org/officeDocument/2006/relationships/hyperlink" Target="https://efsa.onlinelibrary.wiley.com/doi/10.2903/j.efsa.2026.10063" TargetMode="External"/><Relationship Id="rId59" Type="http://schemas.openxmlformats.org/officeDocument/2006/relationships/hyperlink" Target="https://frucom.eu/component/attachments/attachments.html?task=attachment&amp;id=3040" TargetMode="External"/><Relationship Id="rId67" Type="http://schemas.openxmlformats.org/officeDocument/2006/relationships/fontTable" Target="fontTable.xm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https://frucom.eu/circulars/5947:eu-mexico-eu-council-endorses-on-trade-agreement-with-mexico.html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https://frucom.eu/component/attachments/attachments.html?task=attachment&amp;id=3016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teams.microsoft.com/meet/375208005145196?p=77hyA7wtXaXOkqNop5" TargetMode="External"/><Relationship Id="rId28" Type="http://schemas.openxmlformats.org/officeDocument/2006/relationships/hyperlink" Target="https://frucom.eu/component/attachments/attachments.html?task=attachment&amp;id=3035" TargetMode="External"/><Relationship Id="rId36" Type="http://schemas.openxmlformats.org/officeDocument/2006/relationships/hyperlink" Target="https://frucom.eu/component/attachments/attachments.html?task=attachment&amp;id=3023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https://frucom.eu/circulars/5602:joint-frucom-ceereal-event-2025-food-safety-discussion.html" TargetMode="Externa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https://eur-lex.europa.eu/legal-content/EN/TXT/?uri=OJ:L_202601154" TargetMode="External"/><Relationship Id="rId52" Type="http://schemas.openxmlformats.org/officeDocument/2006/relationships/hyperlink" Target="https://frucom.eu/circulars/5863:pesticides-poland-bans-import-of-products-containing-residues-of-5-active-substances.html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https://frucom.eu/component/attachments/attachments.html?task=attachment&amp;id=3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2026-06-02T05:31:00Z</dcterms:created>
  <dcterms:modified xsi:type="dcterms:W3CDTF">2026-06-02T05:31:00Z</dcterms:modified>
</cp:coreProperties>
</file>