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D757D" w:rsidRPr="009D757D" w14:paraId="13CDB2E6" w14:textId="77777777" w:rsidTr="009D757D">
        <w:trPr>
          <w:jc w:val="center"/>
        </w:trPr>
        <w:tc>
          <w:tcPr>
            <w:tcW w:w="0" w:type="auto"/>
            <w:shd w:val="clear" w:color="auto" w:fill="15323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D757D" w:rsidRPr="009D757D" w14:paraId="1D07CBC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46671871" w14:textId="77777777" w:rsidR="009D757D" w:rsidRPr="009D757D" w:rsidRDefault="009D757D" w:rsidP="009D757D">
                  <w:pPr>
                    <w:spacing w:after="120" w:line="240" w:lineRule="auto"/>
                    <w:jc w:val="both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Helvetica" w:eastAsia="Times New Roman" w:hAnsi="Helvetica" w:cs="Helvetica"/>
                      <w:b/>
                      <w:bCs/>
                      <w:caps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FRUCOM NEWSLETTER 23/06/2025</w:t>
                  </w:r>
                </w:p>
                <w:p w14:paraId="7C218049" w14:textId="77777777" w:rsidR="009D757D" w:rsidRPr="009D757D" w:rsidRDefault="009D757D" w:rsidP="009D757D">
                  <w:pPr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FRUCOM ACTIVITIES</w:t>
                  </w:r>
                </w:p>
                <w:p w14:paraId="2C437D89" w14:textId="77777777" w:rsidR="009D757D" w:rsidRPr="009D757D" w:rsidRDefault="009D757D" w:rsidP="009D757D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5" w:history="1"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EU-US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Tariffs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FRUCOM Meeting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with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the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European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Commission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DG TRADE, 3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July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12h00 CET</w:t>
                    </w:r>
                  </w:hyperlink>
                </w:p>
                <w:p w14:paraId="3433C4EA" w14:textId="77777777" w:rsidR="009D757D" w:rsidRPr="009D757D" w:rsidRDefault="009D757D" w:rsidP="009D757D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6" w:history="1"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EU-US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Tariffs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FRUCOM in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person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meeting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with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DG AGRI on 1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July</w:t>
                    </w:r>
                    <w:proofErr w:type="spellEnd"/>
                  </w:hyperlink>
                </w:p>
                <w:p w14:paraId="41161E2C" w14:textId="77777777" w:rsidR="009D757D" w:rsidRPr="009D757D" w:rsidRDefault="009D757D" w:rsidP="009D757D">
                  <w:pPr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ALL PRODUCTS</w:t>
                  </w:r>
                </w:p>
                <w:p w14:paraId="08905DAC" w14:textId="77777777" w:rsidR="009D757D" w:rsidRPr="009D757D" w:rsidRDefault="009D757D" w:rsidP="009D757D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7" w:history="1"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European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Parliament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INTA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Hearing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on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the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EU-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Mercosur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Trade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Agreement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, 24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June</w:t>
                    </w:r>
                    <w:proofErr w:type="spellEnd"/>
                  </w:hyperlink>
                </w:p>
                <w:p w14:paraId="2566413D" w14:textId="77777777" w:rsidR="009D757D" w:rsidRPr="009D757D" w:rsidRDefault="009D757D" w:rsidP="009D757D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8" w:history="1"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Green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Claims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Directive: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European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Commission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announces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intention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to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withdraw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legislation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,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Council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cancels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trilogue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,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Parliament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to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react</w:t>
                    </w:r>
                    <w:proofErr w:type="spellEnd"/>
                  </w:hyperlink>
                </w:p>
                <w:p w14:paraId="5EE18C03" w14:textId="77777777" w:rsidR="009D757D" w:rsidRPr="009D757D" w:rsidRDefault="009D757D" w:rsidP="009D757D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9" w:history="1"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Pesticides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and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Contaminants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FRUCOM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attends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EFSA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meeting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(</w:t>
                    </w:r>
                    <w:proofErr w:type="gram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data</w:t>
                    </w:r>
                    <w:proofErr w:type="gram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collection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updates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,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use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of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industry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gram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data</w:t>
                    </w:r>
                    <w:proofErr w:type="gram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on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Alternaria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)</w:t>
                    </w:r>
                  </w:hyperlink>
                </w:p>
                <w:p w14:paraId="0DC53A8A" w14:textId="77777777" w:rsidR="009D757D" w:rsidRPr="009D757D" w:rsidRDefault="009D757D" w:rsidP="009D757D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10" w:history="1"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Pesticides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the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EU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to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discuss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multiple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MRLs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including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penthiopyrad</w:t>
                    </w:r>
                    <w:proofErr w:type="spellEnd"/>
                  </w:hyperlink>
                </w:p>
                <w:p w14:paraId="626385BD" w14:textId="77777777" w:rsidR="009D757D" w:rsidRPr="009D757D" w:rsidRDefault="009D757D" w:rsidP="009D757D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11" w:history="1"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Pesticides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new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low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-risk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active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substance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Willaertia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magna</w:t>
                    </w:r>
                    <w:proofErr w:type="spellEnd"/>
                  </w:hyperlink>
                </w:p>
                <w:p w14:paraId="1F0E9A0D" w14:textId="77777777" w:rsidR="009D757D" w:rsidRPr="009D757D" w:rsidRDefault="009D757D" w:rsidP="009D757D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12" w:history="1"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Pesticides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new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MRLs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for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cyantraniliprole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,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cyflumetofen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,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deltamethrin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,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mepiquat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and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oxathiapiprolin</w:t>
                    </w:r>
                    <w:proofErr w:type="spellEnd"/>
                  </w:hyperlink>
                </w:p>
                <w:p w14:paraId="0E3897E7" w14:textId="77777777" w:rsidR="009D757D" w:rsidRPr="009D757D" w:rsidRDefault="009D757D" w:rsidP="009D757D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13" w:history="1"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RASFF NOTIFICATION: 2025/25 (16/06/</w:t>
                    </w:r>
                    <w:proofErr w:type="gram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2025 -</w:t>
                    </w:r>
                    <w:proofErr w:type="gram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22/06/2025)</w:t>
                    </w:r>
                  </w:hyperlink>
                </w:p>
                <w:p w14:paraId="2C282EB8" w14:textId="77777777" w:rsidR="009D757D" w:rsidRPr="009D757D" w:rsidRDefault="009D757D" w:rsidP="009D757D">
                  <w:pPr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DRIED FRUIT &amp; NUTS</w:t>
                  </w:r>
                </w:p>
                <w:p w14:paraId="1C950C5B" w14:textId="77777777" w:rsidR="009D757D" w:rsidRPr="009D757D" w:rsidRDefault="009D757D" w:rsidP="009D757D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14" w:history="1"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Official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Controls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Draft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Regulation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published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(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sesamum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products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from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Syria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,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dried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figs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from</w:t>
                    </w:r>
                    <w:proofErr w:type="spellEnd"/>
                    <w:r w:rsidRPr="009D757D">
                      <w:rPr>
                        <w:rFonts w:ascii="Helvetica" w:eastAsia="Times New Roman" w:hAnsi="Helvetica" w:cs="Helvetica"/>
                        <w:color w:val="FFFFFF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Türkiye)</w:t>
                    </w:r>
                  </w:hyperlink>
                </w:p>
              </w:tc>
            </w:tr>
            <w:tr w:rsidR="009D757D" w:rsidRPr="009D757D" w14:paraId="5B974498" w14:textId="77777777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F21B7DC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</w:tbl>
          <w:p w14:paraId="552F549B" w14:textId="77777777" w:rsidR="009D757D" w:rsidRPr="009D757D" w:rsidRDefault="009D757D" w:rsidP="009D757D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D2D38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757D" w:rsidRPr="009D757D" w14:paraId="5D6F8DB5" w14:textId="77777777" w:rsidTr="009D757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D757D" w:rsidRPr="009D757D" w14:paraId="3620BBAD" w14:textId="77777777" w:rsidTr="00C31826">
              <w:trPr>
                <w:trHeight w:val="297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554ED4E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  <w:tr w:rsidR="009D757D" w:rsidRPr="009D757D" w14:paraId="6B467D2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0CCBCBB" w14:textId="77777777" w:rsidR="009D757D" w:rsidRPr="009D757D" w:rsidRDefault="009D757D" w:rsidP="009D757D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w:t>FRUCOM ACTIVITIES</w:t>
                  </w:r>
                </w:p>
                <w:p w14:paraId="69712673" w14:textId="77777777" w:rsidR="009D757D" w:rsidRPr="009D757D" w:rsidRDefault="009D757D" w:rsidP="009D757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15" w:history="1"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EU-US Tariffs: FRUCOM Meeting with the European Commission DG TRADE, 3 July 12h00 CET</w:t>
                    </w:r>
                  </w:hyperlink>
                </w:p>
                <w:p w14:paraId="34DD05C9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have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DG TRADE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EU-US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tariffs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Thursday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3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at 12h00 CET.</w:t>
                  </w:r>
                </w:p>
                <w:p w14:paraId="1E33BB1A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follows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letter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FRUCOM sent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DG TRADE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based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position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paper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10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responding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consultation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US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reciprocal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tariffs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measure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419D8812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Members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interested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participating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exchange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kindly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requested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contact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Secretariat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later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Tuesday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1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5379FA26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held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remotely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via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MS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Teams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0C9B9BCF" w14:textId="77777777" w:rsidR="009D757D" w:rsidRDefault="009D757D" w:rsidP="009D757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  <w:p w14:paraId="4E8DE39D" w14:textId="137863DC" w:rsidR="009D757D" w:rsidRPr="009D757D" w:rsidRDefault="009D757D" w:rsidP="009D757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16" w:history="1"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EU-US Tariffs: FRUCOM in person meeting with DG AGRI on 1 July</w:t>
                    </w:r>
                  </w:hyperlink>
                </w:p>
                <w:p w14:paraId="3461E91C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member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representatives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concerned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EU-US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tariffs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confirmed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participate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physical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DG AGRI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Deputy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Director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General Pierre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Bascou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1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at 11h00 CET.</w:t>
                  </w:r>
                </w:p>
                <w:p w14:paraId="2B38A04E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Members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who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concerned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EU-US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tariffs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have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consulted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have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provided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their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representatives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366A8E9A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lastRenderedPageBreak/>
                    <w:t xml:space="preserve">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prep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call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take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place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days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order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agree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positions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prior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DG AGRI on 1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30ED819D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Members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who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concerned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EU-US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tariffs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developments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strongly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encouraged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submit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additional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arguments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gram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resources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against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imposition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Union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additional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countermeasure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tariffs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US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imports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concern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FRUCOM. (</w:t>
                  </w:r>
                  <w:proofErr w:type="gram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see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hyperlink r:id="rId17" w:history="1">
                    <w:r w:rsidRPr="009D757D">
                      <w:rPr>
                        <w:rFonts w:ascii="Arial" w:eastAsia="Times New Roman" w:hAnsi="Arial" w:cs="Arial"/>
                        <w:color w:val="0087B9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https://frucom.eu/circulars/5419</w:t>
                    </w:r>
                  </w:hyperlink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:eu-us-tariffs-frucom-response-to-the-eu-public-consultation-on-measures-to-respond-to-the-us-reciprocal-and-other-tariffs.html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more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information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).</w:t>
                  </w:r>
                </w:p>
                <w:p w14:paraId="22922B72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also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participated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an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exchange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Snacks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Association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(ESA)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Wednesday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18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discuss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potential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industry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letter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numerous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associations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favour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removing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nuts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dried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fruit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list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US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could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subject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reciprocal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tariffs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62D1F694" w14:textId="77777777" w:rsidR="009D757D" w:rsidRDefault="009D757D" w:rsidP="009D757D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  <w:p w14:paraId="04CBC0A6" w14:textId="48B5001B" w:rsidR="009D757D" w:rsidRPr="009D757D" w:rsidRDefault="009D757D" w:rsidP="009D757D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color w:val="FF8C00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w:t>ALL PRODUCTS</w:t>
                  </w:r>
                </w:p>
                <w:p w14:paraId="17AA5F19" w14:textId="77777777" w:rsidR="009D757D" w:rsidRPr="009D757D" w:rsidRDefault="009D757D" w:rsidP="009D757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18" w:history="1"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European Parliament INTA Hearing on the EU-Mercosur Trade Agreement, 24 June</w:t>
                    </w:r>
                  </w:hyperlink>
                </w:p>
                <w:p w14:paraId="7E0EFDCC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Parliament’s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International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Trade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(INTA)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hold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hearing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EU-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Mercosur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Trade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Agreement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on 24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2025, 15:00–17:30.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Members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can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watch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hearing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via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following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link: </w:t>
                  </w:r>
                  <w:hyperlink r:id="rId19" w:history="1">
                    <w:r w:rsidRPr="009D757D">
                      <w:rPr>
                        <w:rFonts w:ascii="Arial" w:eastAsia="Times New Roman" w:hAnsi="Arial" w:cs="Arial"/>
                        <w:color w:val="0087B9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https://multimedia.europarl.europa.eu/en/webstreaming/inta-committee-meeting_20250624-1430-COMMITTEE-INTA</w:t>
                    </w:r>
                  </w:hyperlink>
                </w:p>
                <w:p w14:paraId="202B7266" w14:textId="77777777" w:rsidR="009D757D" w:rsidRPr="009D757D" w:rsidRDefault="009D757D" w:rsidP="00C31826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programme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can be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found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here: </w:t>
                  </w:r>
                  <w:hyperlink r:id="rId20" w:history="1">
                    <w:r w:rsidRPr="009D757D">
                      <w:rPr>
                        <w:rFonts w:ascii="Arial" w:eastAsia="Times New Roman" w:hAnsi="Arial" w:cs="Arial"/>
                        <w:color w:val="0087B9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https://www.europarl.europa.eu/committees/en/the-eu-mercosur-trade-agreement/product-details/20250617CHE13206</w:t>
                    </w:r>
                  </w:hyperlink>
                </w:p>
                <w:p w14:paraId="5230E580" w14:textId="77777777" w:rsidR="009D757D" w:rsidRDefault="009D757D" w:rsidP="009D757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  <w:p w14:paraId="7FF735B2" w14:textId="2BED85C0" w:rsidR="009D757D" w:rsidRPr="009D757D" w:rsidRDefault="009D757D" w:rsidP="009D757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21" w:history="1"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Green Claims Directive: European Commission announces intention to withdraw legislation, Council cancels trilogue, Parliament to react</w:t>
                    </w:r>
                  </w:hyperlink>
                </w:p>
                <w:p w14:paraId="49D3DC08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Friday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20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announced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intention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withdraw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Green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Claims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Directive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proposal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.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Monday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23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cancelled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concluding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trilogue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negotiations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between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which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were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scheduled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take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place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same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5FAD0E2C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Parliament’s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members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responsible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file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have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held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press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conference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23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explain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their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position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answer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questions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0D05A413" w14:textId="77777777" w:rsidR="009D757D" w:rsidRPr="009D757D" w:rsidRDefault="009D757D" w:rsidP="009D757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More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information: </w:t>
                  </w:r>
                  <w:hyperlink r:id="rId22" w:history="1">
                    <w:r w:rsidRPr="009D757D">
                      <w:rPr>
                        <w:rFonts w:ascii="Arial" w:eastAsia="Times New Roman" w:hAnsi="Arial" w:cs="Arial"/>
                        <w:color w:val="0087B9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https://www.europarl.europa.eu/news/en/press-room/20250623IPR29094/green-claims-directive-ep-co-rapporteurs-hold-a-press-conference-at-15-15</w:t>
                    </w:r>
                  </w:hyperlink>
                </w:p>
                <w:p w14:paraId="32D4B69E" w14:textId="77777777" w:rsidR="009D757D" w:rsidRDefault="009D757D" w:rsidP="009D757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  <w:p w14:paraId="7F91E951" w14:textId="38E135AB" w:rsidR="009D757D" w:rsidRPr="009D757D" w:rsidRDefault="009D757D" w:rsidP="009D757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23" w:history="1"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Pesticides and Contaminants: FRUCOM attends EFSA meeting (data collection updates, use of industry data on Alternaria)</w:t>
                    </w:r>
                  </w:hyperlink>
                </w:p>
                <w:p w14:paraId="1BB0D72B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reported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a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fldChar w:fldCharType="begin"/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instrText>HYPERLINK "https://frucom.eu/circulars/5379:pesticides-and-contaminants-frucom-to-attend-efsa-stakeholder-meeting-on-chemical-occurrence-data.html"</w:instrTex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fldChar w:fldCharType="separate"/>
                  </w:r>
                  <w:r w:rsidRPr="009D757D">
                    <w:rPr>
                      <w:rFonts w:ascii="Arial" w:eastAsia="Times New Roman" w:hAnsi="Arial" w:cs="Arial"/>
                      <w:color w:val="0087B9"/>
                      <w:kern w:val="0"/>
                      <w:sz w:val="24"/>
                      <w:szCs w:val="24"/>
                      <w:u w:val="single"/>
                      <w:bdr w:val="none" w:sz="0" w:space="0" w:color="auto" w:frame="1"/>
                      <w:lang w:eastAsia="tr-TR"/>
                      <w14:ligatures w14:val="none"/>
                    </w:rPr>
                    <w:t>previous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0087B9"/>
                      <w:kern w:val="0"/>
                      <w:sz w:val="24"/>
                      <w:szCs w:val="24"/>
                      <w:u w:val="single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0087B9"/>
                      <w:kern w:val="0"/>
                      <w:sz w:val="24"/>
                      <w:szCs w:val="24"/>
                      <w:u w:val="single"/>
                      <w:bdr w:val="none" w:sz="0" w:space="0" w:color="auto" w:frame="1"/>
                      <w:lang w:eastAsia="tr-TR"/>
                      <w14:ligatures w14:val="none"/>
                    </w:rPr>
                    <w:t>circular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fldChar w:fldCharType="end"/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attended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EFSA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Stakeholders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Discussion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Group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Chemical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Occurrence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Data, on 5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6A3B4125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previous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took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place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November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2024. Main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discussed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points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:</w:t>
                  </w:r>
                </w:p>
                <w:p w14:paraId="7E3F0EF1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Update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Rebuild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project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:</w:t>
                  </w:r>
                </w:p>
                <w:p w14:paraId="542D1FF9" w14:textId="77777777" w:rsidR="009D757D" w:rsidRPr="009D757D" w:rsidRDefault="009D757D" w:rsidP="009D757D">
                  <w:pPr>
                    <w:numPr>
                      <w:ilvl w:val="3"/>
                      <w:numId w:val="3"/>
                    </w:numPr>
                    <w:tabs>
                      <w:tab w:val="clear" w:pos="2880"/>
                      <w:tab w:val="num" w:pos="2694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lastRenderedPageBreak/>
                    <w:t>Scope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reengineer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collections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analysis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systems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order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modernise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way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submitted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managed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analysed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EFSA.</w:t>
                  </w:r>
                </w:p>
                <w:p w14:paraId="62306700" w14:textId="77777777" w:rsidR="009D757D" w:rsidRPr="009D757D" w:rsidRDefault="009D757D" w:rsidP="009D757D">
                  <w:pPr>
                    <w:numPr>
                      <w:ilvl w:val="3"/>
                      <w:numId w:val="4"/>
                    </w:numPr>
                    <w:tabs>
                      <w:tab w:val="clear" w:pos="2880"/>
                      <w:tab w:val="num" w:pos="2694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first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release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new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system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foreseen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2025,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pilot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testing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at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early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2026.</w:t>
                  </w:r>
                </w:p>
                <w:p w14:paraId="75EC5924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Use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gram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industry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in EFSA risk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assessment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activities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Alternaria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):</w:t>
                  </w:r>
                </w:p>
                <w:p w14:paraId="0724BABC" w14:textId="77777777" w:rsidR="009D757D" w:rsidRPr="009D757D" w:rsidRDefault="009D757D" w:rsidP="009D757D">
                  <w:pPr>
                    <w:numPr>
                      <w:ilvl w:val="3"/>
                      <w:numId w:val="5"/>
                    </w:numPr>
                    <w:tabs>
                      <w:tab w:val="clear" w:pos="2880"/>
                      <w:tab w:val="num" w:pos="2552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Most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collected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originates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Member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States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271C6D21" w14:textId="77777777" w:rsidR="009D757D" w:rsidRPr="009D757D" w:rsidRDefault="009D757D" w:rsidP="009D757D">
                  <w:pPr>
                    <w:numPr>
                      <w:ilvl w:val="3"/>
                      <w:numId w:val="6"/>
                    </w:numPr>
                    <w:tabs>
                      <w:tab w:val="clear" w:pos="2880"/>
                      <w:tab w:val="num" w:pos="2552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food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feed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associations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EFSA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currently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received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around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4700 </w:t>
                  </w:r>
                  <w:proofErr w:type="gram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points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(6% of total).</w:t>
                  </w:r>
                </w:p>
                <w:p w14:paraId="276B9312" w14:textId="77777777" w:rsidR="009D757D" w:rsidRDefault="009D757D" w:rsidP="009D757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  <w:p w14:paraId="16D56A1E" w14:textId="34FEA0CC" w:rsidR="009D757D" w:rsidRPr="009D757D" w:rsidRDefault="009D757D" w:rsidP="009D757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24" w:history="1"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Pesticides: the EU to discuss multiple MRLs including penthiopyrad</w:t>
                    </w:r>
                  </w:hyperlink>
                </w:p>
                <w:p w14:paraId="1454B7E6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Standing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Plants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Animals, Food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Feed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Section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Phytopharmaceuticals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-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Legislation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have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</w:t>
                  </w: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gram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9 -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10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July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2025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agenda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available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here:</w:t>
                  </w:r>
                </w:p>
                <w:p w14:paraId="111FB279" w14:textId="619DD872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25" w:history="1">
                    <w:r w:rsidRPr="009D757D">
                      <w:rPr>
                        <w:rStyle w:val="Kpr"/>
                        <w:rFonts w:ascii="Arial" w:eastAsia="Times New Roman" w:hAnsi="Arial" w:cs="Arial"/>
                        <w:kern w:val="0"/>
                        <w:sz w:val="24"/>
                        <w:szCs w:val="24"/>
                        <w:bdr w:val="none" w:sz="0" w:space="0" w:color="auto" w:frame="1"/>
                        <w:lang w:eastAsia="tr-TR"/>
                        <w14:ligatures w14:val="none"/>
                      </w:rPr>
                      <w:t>https://food.ec.europa.eu/document/download/d3a28053-9f5f-4b22-bae6-4704f67b280a_en?filename=sc_phyto_20250709_ppl_agenda.pdf</w:t>
                    </w:r>
                  </w:hyperlink>
                </w:p>
                <w:p w14:paraId="080E7D1D" w14:textId="77777777" w:rsidR="009D757D" w:rsidRPr="009D757D" w:rsidRDefault="009D757D" w:rsidP="009D757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not yet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available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2EE27B02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Section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B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(s)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presented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:</w:t>
                  </w:r>
                </w:p>
                <w:p w14:paraId="4195BB6A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B.01 Exchange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laying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down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labelling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requirements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plant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protection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</w:p>
                <w:p w14:paraId="2843BA7C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B.02 Exchange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2024/1487 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regards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adoption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work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programme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gradual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review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safeners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synergists</w:t>
                  </w:r>
                  <w:proofErr w:type="spellEnd"/>
                </w:p>
                <w:p w14:paraId="4955ECE1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B.03 Exchange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renewing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low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-risk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rape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seed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oil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</w:p>
                <w:p w14:paraId="006D58AC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is not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7DEF654B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B.04 Exchange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renewing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milbemectin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No 540/2011</w:t>
                  </w:r>
                </w:p>
                <w:p w14:paraId="640DF1E5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has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only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few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detections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0605C91E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B.05 Exchange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No 540/2011 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regards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period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penthiopyrad</w:t>
                  </w:r>
                  <w:proofErr w:type="spellEnd"/>
                </w:p>
                <w:p w14:paraId="27013F18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has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detected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multiple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some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exceedances.</w:t>
                  </w:r>
                </w:p>
                <w:p w14:paraId="75DE4239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B.06 Exchange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No 540/2011 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regards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extension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periods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lastRenderedPageBreak/>
                    <w:t>substances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ametoctradin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Beauveria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bassiana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strains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ATCC 74040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GHA,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buprofezin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clodinafop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copper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compounds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cyflumetofen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daminozide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flupyradifurone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Helicoverpa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armigera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nucleopolyhedrovirus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mandestrobin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mandipropamid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metam,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pyraclostrobin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rescalure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Spodoptera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littoralis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nucleopolyhedrovirus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Streptomyces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lydicus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strain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WYEC 108,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Trichoderma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asperellum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strain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T34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Trichoderma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atroviride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strain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I1237</w:t>
                  </w:r>
                </w:p>
                <w:p w14:paraId="6A9F81FC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Most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substances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limited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amounts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detections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7984E29C" w14:textId="77777777" w:rsidR="00AE2D2D" w:rsidRDefault="00AE2D2D" w:rsidP="00AE2D2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  <w:p w14:paraId="3C50CB14" w14:textId="7A6B1801" w:rsidR="009D757D" w:rsidRPr="009D757D" w:rsidRDefault="009D757D" w:rsidP="00AE2D2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26" w:history="1"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Pesticides: new low-risk active substance Willaertia magna</w:t>
                    </w:r>
                  </w:hyperlink>
                </w:p>
                <w:p w14:paraId="028BA43F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2025/1177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approving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lysate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Willaertia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magna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as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low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-risk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(EC) No 1107/2009.</w:t>
                  </w: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has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established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respect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more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representative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uses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at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least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plant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protection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containing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lysate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Willaertia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magna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particular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respect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uses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which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were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examined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detailed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review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report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criteria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provided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Article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4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(EC) No 1107/2009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satisfied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4228C088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Willaertia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magna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can be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used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as a</w:t>
                  </w: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fungicide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against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downy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mildew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Plasmopara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viticola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)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grapevines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grapes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306EEB5D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shall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enter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twentieth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following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publication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Official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Journal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Union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17.06.2025).</w:t>
                  </w:r>
                </w:p>
                <w:p w14:paraId="2A4823FB" w14:textId="77777777" w:rsidR="009D757D" w:rsidRPr="009D757D" w:rsidRDefault="009D757D" w:rsidP="00AE2D2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More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information: </w:t>
                  </w:r>
                  <w:hyperlink r:id="rId27" w:history="1">
                    <w:r w:rsidRPr="009D757D">
                      <w:rPr>
                        <w:rFonts w:ascii="Arial" w:eastAsia="Times New Roman" w:hAnsi="Arial" w:cs="Arial"/>
                        <w:color w:val="0087B9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https://eur-lex.europa.eu/legal-content/EN/TXT/?uri=OJ:L_202501177</w:t>
                    </w:r>
                  </w:hyperlink>
                </w:p>
                <w:p w14:paraId="7D848FC2" w14:textId="77777777" w:rsidR="00AE2D2D" w:rsidRDefault="00AE2D2D" w:rsidP="00AE2D2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  <w:p w14:paraId="08CCED48" w14:textId="79F66B70" w:rsidR="009D757D" w:rsidRPr="009D757D" w:rsidRDefault="009D757D" w:rsidP="00AE2D2D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28" w:history="1"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Pesticides: new MRLs for cyantraniliprole, cyflumetofen, deltamethrin, mepiquat and oxathiapiprolin</w:t>
                    </w:r>
                  </w:hyperlink>
                </w:p>
                <w:p w14:paraId="38B79A28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</w:t>
                  </w: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2025/1164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Annexes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II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III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(EC) No 396/2005 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regards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maximum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residue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levels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cyantraniliprole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cyflumetofen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deltamethrin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mefentrifluconazole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mepiquat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oxathiapiprolin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certain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MRLs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aligned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new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CXL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levels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were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it can be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considered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safe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76A1B071" w14:textId="77777777" w:rsidR="009D757D" w:rsidRPr="009D757D" w:rsidRDefault="009D757D" w:rsidP="00AE2D2D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shall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enter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twentieth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following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publication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Official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Journal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Union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16.6.2025).</w:t>
                  </w:r>
                </w:p>
                <w:p w14:paraId="33FADCEE" w14:textId="77777777" w:rsidR="009D757D" w:rsidRPr="009D757D" w:rsidRDefault="009D757D" w:rsidP="00003FFA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New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MRLs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Cyantraniliprole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mg/kg 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on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):</w:t>
                  </w:r>
                </w:p>
                <w:p w14:paraId="39FA764B" w14:textId="77777777" w:rsidR="009D757D" w:rsidRPr="009D757D" w:rsidRDefault="009D757D" w:rsidP="00003F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Cane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fruits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4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br/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Avocados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0.4</w:t>
                  </w:r>
                </w:p>
                <w:p w14:paraId="5899014C" w14:textId="77777777" w:rsidR="009D757D" w:rsidRPr="009D757D" w:rsidRDefault="009D757D" w:rsidP="00003FFA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New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MRLs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Cyflumetofen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on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)</w:t>
                  </w:r>
                </w:p>
                <w:p w14:paraId="00D3A997" w14:textId="77777777" w:rsidR="009D757D" w:rsidRPr="009D757D" w:rsidRDefault="009D757D" w:rsidP="00003FFA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Cherries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sweet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)</w:t>
                  </w: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0.4</w:t>
                  </w:r>
                </w:p>
                <w:p w14:paraId="531DA553" w14:textId="77777777" w:rsidR="009D757D" w:rsidRPr="009D757D" w:rsidRDefault="009D757D" w:rsidP="00003FFA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New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MRLs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Deltamethrin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some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exceedance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on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)</w:t>
                  </w:r>
                </w:p>
                <w:p w14:paraId="335C4615" w14:textId="77777777" w:rsidR="009D757D" w:rsidRPr="009D757D" w:rsidRDefault="009D757D" w:rsidP="00CA1CB1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Papayas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0.2</w:t>
                  </w:r>
                </w:p>
                <w:p w14:paraId="75F96C44" w14:textId="77777777" w:rsidR="009D757D" w:rsidRPr="009D757D" w:rsidRDefault="009D757D" w:rsidP="00CA1CB1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New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MRLs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Mepiquat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little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findings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on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)</w:t>
                  </w:r>
                </w:p>
                <w:p w14:paraId="7CBB6855" w14:textId="77777777" w:rsidR="009D757D" w:rsidRPr="009D757D" w:rsidRDefault="009D757D" w:rsidP="00CA1CB1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Grapes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5</w:t>
                  </w:r>
                </w:p>
                <w:p w14:paraId="3C9E79FE" w14:textId="77777777" w:rsidR="009D757D" w:rsidRPr="009D757D" w:rsidRDefault="009D757D" w:rsidP="00CA1CB1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New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MRLs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Oxathiapiprolin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on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)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br/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lastRenderedPageBreak/>
                    <w:t>Currants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black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white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)</w:t>
                  </w: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0.5</w:t>
                  </w:r>
                </w:p>
                <w:p w14:paraId="26BADB85" w14:textId="77777777" w:rsidR="009D757D" w:rsidRPr="009D757D" w:rsidRDefault="009D757D" w:rsidP="00CA1CB1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Gooseberries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green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yellow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) 0.5</w:t>
                  </w:r>
                </w:p>
                <w:p w14:paraId="6984336A" w14:textId="77777777" w:rsidR="009D757D" w:rsidRPr="009D757D" w:rsidRDefault="009D757D" w:rsidP="00CA1CB1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Rose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hips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0.5</w:t>
                  </w:r>
                </w:p>
                <w:p w14:paraId="0FB548E5" w14:textId="77777777" w:rsidR="009D757D" w:rsidRPr="009D757D" w:rsidRDefault="009D757D" w:rsidP="00CA1CB1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Papayas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0.07</w:t>
                  </w:r>
                </w:p>
                <w:p w14:paraId="38BA356F" w14:textId="77777777" w:rsidR="009D757D" w:rsidRPr="009D757D" w:rsidRDefault="009D757D" w:rsidP="00CA1CB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More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information: </w:t>
                  </w:r>
                  <w:hyperlink r:id="rId29" w:history="1">
                    <w:r w:rsidRPr="009D757D">
                      <w:rPr>
                        <w:rFonts w:ascii="Arial" w:eastAsia="Times New Roman" w:hAnsi="Arial" w:cs="Arial"/>
                        <w:color w:val="0087B9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https://eur-lex.europa.eu/legal-content/EN/TXT/?uri=OJ:L_202501164</w:t>
                    </w:r>
                  </w:hyperlink>
                </w:p>
                <w:p w14:paraId="2A9A857F" w14:textId="77777777" w:rsidR="00CA1CB1" w:rsidRDefault="00CA1CB1" w:rsidP="00CA1CB1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  <w:p w14:paraId="63BF4357" w14:textId="7B37E6B4" w:rsidR="009D757D" w:rsidRPr="009D757D" w:rsidRDefault="009D757D" w:rsidP="00CA1CB1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30" w:history="1"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RASFF NOTIFICATION: 2025/25 (16/06/</w:t>
                    </w:r>
                    <w:proofErr w:type="gramStart"/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2025 -</w:t>
                    </w:r>
                    <w:proofErr w:type="gramEnd"/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22/06/2025)</w:t>
                    </w:r>
                  </w:hyperlink>
                </w:p>
                <w:p w14:paraId="3B875AAA" w14:textId="77777777" w:rsidR="009D757D" w:rsidRPr="009D757D" w:rsidRDefault="009D757D" w:rsidP="00CA1CB1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Please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find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below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report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compiling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RASFF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notifications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week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2025/25 (16/06/</w:t>
                  </w:r>
                  <w:proofErr w:type="gram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2025 -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22/06/2025).</w:t>
                  </w:r>
                </w:p>
                <w:p w14:paraId="52AE017A" w14:textId="77777777" w:rsidR="009D757D" w:rsidRPr="009D757D" w:rsidRDefault="009D757D" w:rsidP="00CA1CB1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Information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provided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report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based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RASFF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notifications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DG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SANTE’s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online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database</w:t>
                  </w:r>
                  <w:proofErr w:type="spellEnd"/>
                </w:p>
                <w:p w14:paraId="787B775D" w14:textId="77777777" w:rsidR="009D757D" w:rsidRPr="009D757D" w:rsidRDefault="009D757D" w:rsidP="00CA1CB1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31" w:history="1">
                    <w:r w:rsidRPr="009D757D">
                      <w:rPr>
                        <w:rFonts w:ascii="Arial" w:eastAsia="Times New Roman" w:hAnsi="Arial" w:cs="Arial"/>
                        <w:color w:val="0087B9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FRUCOM</w:t>
                    </w:r>
                    <w:r w:rsidRPr="009D757D">
                      <w:rPr>
                        <w:rFonts w:ascii="Arial" w:eastAsia="Times New Roman" w:hAnsi="Arial" w:cs="Arial"/>
                        <w:color w:val="0087B9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RASFF2025_Week25</w:t>
                    </w:r>
                  </w:hyperlink>
                  <w:hyperlink r:id="rId32" w:history="1">
                    <w:r w:rsidRPr="009D757D">
                      <w:rPr>
                        <w:rFonts w:ascii="Arial" w:eastAsia="Times New Roman" w:hAnsi="Arial" w:cs="Arial"/>
                        <w:color w:val="2D2D38"/>
                        <w:kern w:val="0"/>
                        <w:sz w:val="24"/>
                        <w:szCs w:val="24"/>
                        <w:bdr w:val="none" w:sz="0" w:space="0" w:color="auto" w:frame="1"/>
                        <w:lang w:eastAsia="tr-TR"/>
                        <w14:ligatures w14:val="none"/>
                      </w:rPr>
                      <w:br/>
                    </w:r>
                  </w:hyperlink>
                </w:p>
                <w:p w14:paraId="7BA8A495" w14:textId="77777777" w:rsidR="009D757D" w:rsidRPr="009D757D" w:rsidRDefault="009D757D" w:rsidP="00CA1CB1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w:t>DRIED FRUIT &amp; NUTS</w:t>
                  </w:r>
                </w:p>
                <w:p w14:paraId="0FBEEA0F" w14:textId="77777777" w:rsidR="009D757D" w:rsidRPr="009D757D" w:rsidRDefault="009D757D" w:rsidP="00C31826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33" w:history="1">
                    <w:r w:rsidRPr="009D757D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Official Controls: Draft Regulation published (sesamum products from Syria, dried figs from Türkiye)</w:t>
                    </w:r>
                  </w:hyperlink>
                </w:p>
                <w:p w14:paraId="2A25F3BA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has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increased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controls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2019/1793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temporary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increase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official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controls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emergency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measures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governing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entry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Union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certain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goods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certain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third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countries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0D03FBD8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following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relevant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FRUCOM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members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:</w:t>
                  </w:r>
                </w:p>
                <w:p w14:paraId="6CE135B4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Tahini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Halva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Sesamum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Seeds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-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Syria</w:t>
                  </w:r>
                  <w:proofErr w:type="spellEnd"/>
                </w:p>
                <w:p w14:paraId="16D628FD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have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shown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high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rate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non-compliance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due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contamination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r w:rsidRPr="009D757D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Salmonella</w:t>
                  </w: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. As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result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frequency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identity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physical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checks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consignments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upon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entry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 has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increased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30%</w:t>
                  </w:r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specified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Annex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2019/1793.</w:t>
                  </w:r>
                </w:p>
                <w:p w14:paraId="30EF2949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Dried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Figs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Mixtures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Associated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-</w:t>
                  </w:r>
                  <w:proofErr w:type="gramEnd"/>
                  <w:r w:rsidRPr="009D757D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Türkiye</w:t>
                  </w:r>
                </w:p>
                <w:p w14:paraId="620F91E9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According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have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shown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high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rate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non-compliance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primarily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due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contamination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aflatoxins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More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recently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Ochratoxin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 has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also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detected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has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updated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Annex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II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(EU) 2019/1793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include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both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aflatoxins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Ochratoxin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 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hazards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concern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 </w:t>
                  </w: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A 30%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frequency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identity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physical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u w:val="single"/>
                      <w:lang w:eastAsia="tr-TR"/>
                      <w14:ligatures w14:val="none"/>
                    </w:rPr>
                    <w:t>checks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 is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now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required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these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consignments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which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must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also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accompanied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official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certificates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analytical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results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verifying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compliance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legislation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0A5D80EC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Both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Annex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available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attachments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below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:</w:t>
                  </w:r>
                </w:p>
                <w:p w14:paraId="40279914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34" w:history="1">
                    <w:r w:rsidRPr="009D757D">
                      <w:rPr>
                        <w:rFonts w:ascii="Arial" w:eastAsia="Times New Roman" w:hAnsi="Arial" w:cs="Arial"/>
                        <w:color w:val="0087B9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CIC_B</w:t>
                    </w:r>
                  </w:hyperlink>
                </w:p>
                <w:p w14:paraId="4A2868B6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hyperlink r:id="rId35" w:history="1">
                    <w:r w:rsidRPr="009D757D">
                      <w:rPr>
                        <w:rFonts w:ascii="Arial" w:eastAsia="Times New Roman" w:hAnsi="Arial" w:cs="Arial"/>
                        <w:color w:val="0087B9"/>
                        <w:kern w:val="0"/>
                        <w:sz w:val="24"/>
                        <w:szCs w:val="24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CIC_B-ANNEX</w:t>
                    </w:r>
                  </w:hyperlink>
                </w:p>
                <w:p w14:paraId="0B45DCCC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No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publication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date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has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been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shared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2D2D38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yet.</w:t>
                  </w:r>
                </w:p>
                <w:p w14:paraId="123426F3" w14:textId="77777777" w:rsidR="009D757D" w:rsidRPr="009D757D" w:rsidRDefault="009D757D" w:rsidP="00C31826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shall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enter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into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force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twentieth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day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following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its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publication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Official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Journal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Union</w:t>
                  </w:r>
                  <w:proofErr w:type="spellEnd"/>
                  <w:r w:rsidRPr="009D757D"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</w:t>
                  </w:r>
                </w:p>
                <w:p w14:paraId="75C6EB86" w14:textId="6D026AAA" w:rsidR="009D757D" w:rsidRPr="009D757D" w:rsidRDefault="009D757D" w:rsidP="009D757D">
                  <w:pPr>
                    <w:spacing w:after="120" w:line="240" w:lineRule="auto"/>
                    <w:ind w:left="1440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</w:tbl>
          <w:p w14:paraId="0A3CE6D1" w14:textId="77777777" w:rsidR="009D757D" w:rsidRPr="009D757D" w:rsidRDefault="009D757D" w:rsidP="009D757D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D2D38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2D1B8901" w14:textId="77777777" w:rsidR="00EF657A" w:rsidRPr="009D757D" w:rsidRDefault="00EF657A" w:rsidP="009D757D">
      <w:pPr>
        <w:spacing w:after="120" w:line="240" w:lineRule="auto"/>
        <w:jc w:val="both"/>
        <w:rPr>
          <w:sz w:val="24"/>
          <w:szCs w:val="24"/>
        </w:rPr>
      </w:pPr>
    </w:p>
    <w:sectPr w:rsidR="00EF657A" w:rsidRPr="009D757D" w:rsidSect="00C31826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635"/>
    <w:multiLevelType w:val="multilevel"/>
    <w:tmpl w:val="647E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03ED5"/>
    <w:multiLevelType w:val="multilevel"/>
    <w:tmpl w:val="4E8E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456425">
    <w:abstractNumId w:val="0"/>
  </w:num>
  <w:num w:numId="2" w16cid:durableId="781344784">
    <w:abstractNumId w:val="1"/>
  </w:num>
  <w:num w:numId="3" w16cid:durableId="343165134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 w16cid:durableId="288316588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" w16cid:durableId="1625774336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" w16cid:durableId="610749302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57"/>
    <w:rsid w:val="00003FFA"/>
    <w:rsid w:val="000D39E6"/>
    <w:rsid w:val="00233D2D"/>
    <w:rsid w:val="00376CB0"/>
    <w:rsid w:val="004A5DEB"/>
    <w:rsid w:val="004C6816"/>
    <w:rsid w:val="004E0B97"/>
    <w:rsid w:val="00500B03"/>
    <w:rsid w:val="005C5DF0"/>
    <w:rsid w:val="00634F57"/>
    <w:rsid w:val="006A2CA1"/>
    <w:rsid w:val="00800822"/>
    <w:rsid w:val="008800BE"/>
    <w:rsid w:val="008C1C5F"/>
    <w:rsid w:val="008F101B"/>
    <w:rsid w:val="00936112"/>
    <w:rsid w:val="009D757D"/>
    <w:rsid w:val="00A42881"/>
    <w:rsid w:val="00A51EB7"/>
    <w:rsid w:val="00A55B1E"/>
    <w:rsid w:val="00AB4D5A"/>
    <w:rsid w:val="00AE2D2D"/>
    <w:rsid w:val="00C073AC"/>
    <w:rsid w:val="00C31826"/>
    <w:rsid w:val="00C365E6"/>
    <w:rsid w:val="00C5603A"/>
    <w:rsid w:val="00CA1CB1"/>
    <w:rsid w:val="00CC0F75"/>
    <w:rsid w:val="00CC5779"/>
    <w:rsid w:val="00CD3BBD"/>
    <w:rsid w:val="00D00CB6"/>
    <w:rsid w:val="00D0455A"/>
    <w:rsid w:val="00D36EB8"/>
    <w:rsid w:val="00D4682C"/>
    <w:rsid w:val="00DA1C45"/>
    <w:rsid w:val="00E4174E"/>
    <w:rsid w:val="00EE0DF5"/>
    <w:rsid w:val="00EF657A"/>
    <w:rsid w:val="00FC2C48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EF9B"/>
  <w15:chartTrackingRefBased/>
  <w15:docId w15:val="{B882CF30-B555-4D9D-A4D4-36AF8DA8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4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4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4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4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4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4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4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4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4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4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4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4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4F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4F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4F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4F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4F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4F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4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4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4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4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4F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4F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4F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4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4F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4F5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D757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7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227">
          <w:marLeft w:val="0"/>
          <w:marRight w:val="0"/>
          <w:marTop w:val="0"/>
          <w:marBottom w:val="600"/>
          <w:divBdr>
            <w:top w:val="none" w:sz="0" w:space="0" w:color="auto"/>
            <w:left w:val="single" w:sz="12" w:space="11" w:color="FF8C00"/>
            <w:bottom w:val="none" w:sz="0" w:space="0" w:color="auto"/>
            <w:right w:val="none" w:sz="0" w:space="0" w:color="auto"/>
          </w:divBdr>
        </w:div>
        <w:div w:id="9720286">
          <w:marLeft w:val="0"/>
          <w:marRight w:val="0"/>
          <w:marTop w:val="0"/>
          <w:marBottom w:val="600"/>
          <w:divBdr>
            <w:top w:val="none" w:sz="0" w:space="0" w:color="auto"/>
            <w:left w:val="single" w:sz="12" w:space="11" w:color="FF8C00"/>
            <w:bottom w:val="none" w:sz="0" w:space="0" w:color="auto"/>
            <w:right w:val="none" w:sz="0" w:space="0" w:color="auto"/>
          </w:divBdr>
        </w:div>
        <w:div w:id="1545167973">
          <w:marLeft w:val="0"/>
          <w:marRight w:val="0"/>
          <w:marTop w:val="0"/>
          <w:marBottom w:val="600"/>
          <w:divBdr>
            <w:top w:val="none" w:sz="0" w:space="0" w:color="auto"/>
            <w:left w:val="single" w:sz="12" w:space="11" w:color="FF8C00"/>
            <w:bottom w:val="none" w:sz="0" w:space="0" w:color="auto"/>
            <w:right w:val="none" w:sz="0" w:space="0" w:color="auto"/>
          </w:divBdr>
        </w:div>
        <w:div w:id="328293914">
          <w:marLeft w:val="0"/>
          <w:marRight w:val="0"/>
          <w:marTop w:val="0"/>
          <w:marBottom w:val="600"/>
          <w:divBdr>
            <w:top w:val="none" w:sz="0" w:space="0" w:color="auto"/>
            <w:left w:val="single" w:sz="12" w:space="11" w:color="FF8C00"/>
            <w:bottom w:val="none" w:sz="0" w:space="0" w:color="auto"/>
            <w:right w:val="none" w:sz="0" w:space="0" w:color="auto"/>
          </w:divBdr>
        </w:div>
        <w:div w:id="203178530">
          <w:marLeft w:val="0"/>
          <w:marRight w:val="0"/>
          <w:marTop w:val="0"/>
          <w:marBottom w:val="600"/>
          <w:divBdr>
            <w:top w:val="none" w:sz="0" w:space="0" w:color="auto"/>
            <w:left w:val="single" w:sz="12" w:space="11" w:color="FF8C00"/>
            <w:bottom w:val="none" w:sz="0" w:space="0" w:color="auto"/>
            <w:right w:val="none" w:sz="0" w:space="0" w:color="auto"/>
          </w:divBdr>
        </w:div>
        <w:div w:id="750780931">
          <w:marLeft w:val="0"/>
          <w:marRight w:val="0"/>
          <w:marTop w:val="0"/>
          <w:marBottom w:val="600"/>
          <w:divBdr>
            <w:top w:val="none" w:sz="0" w:space="0" w:color="auto"/>
            <w:left w:val="single" w:sz="12" w:space="11" w:color="FF8C00"/>
            <w:bottom w:val="none" w:sz="0" w:space="0" w:color="auto"/>
            <w:right w:val="none" w:sz="0" w:space="0" w:color="auto"/>
          </w:divBdr>
        </w:div>
        <w:div w:id="1084762467">
          <w:marLeft w:val="0"/>
          <w:marRight w:val="0"/>
          <w:marTop w:val="0"/>
          <w:marBottom w:val="600"/>
          <w:divBdr>
            <w:top w:val="none" w:sz="0" w:space="0" w:color="auto"/>
            <w:left w:val="single" w:sz="12" w:space="11" w:color="FF8C00"/>
            <w:bottom w:val="none" w:sz="0" w:space="0" w:color="auto"/>
            <w:right w:val="none" w:sz="0" w:space="0" w:color="auto"/>
          </w:divBdr>
        </w:div>
        <w:div w:id="1119033211">
          <w:marLeft w:val="0"/>
          <w:marRight w:val="0"/>
          <w:marTop w:val="0"/>
          <w:marBottom w:val="600"/>
          <w:divBdr>
            <w:top w:val="none" w:sz="0" w:space="0" w:color="auto"/>
            <w:left w:val="single" w:sz="12" w:space="11" w:color="FF8C00"/>
            <w:bottom w:val="none" w:sz="0" w:space="0" w:color="auto"/>
            <w:right w:val="none" w:sz="0" w:space="0" w:color="auto"/>
          </w:divBdr>
        </w:div>
        <w:div w:id="1224757566">
          <w:marLeft w:val="0"/>
          <w:marRight w:val="0"/>
          <w:marTop w:val="0"/>
          <w:marBottom w:val="600"/>
          <w:divBdr>
            <w:top w:val="none" w:sz="0" w:space="0" w:color="auto"/>
            <w:left w:val="single" w:sz="12" w:space="11" w:color="FF8C00"/>
            <w:bottom w:val="none" w:sz="0" w:space="0" w:color="auto"/>
            <w:right w:val="none" w:sz="0" w:space="0" w:color="auto"/>
          </w:divBdr>
        </w:div>
        <w:div w:id="1685476982">
          <w:marLeft w:val="0"/>
          <w:marRight w:val="0"/>
          <w:marTop w:val="0"/>
          <w:marBottom w:val="600"/>
          <w:divBdr>
            <w:top w:val="none" w:sz="0" w:space="0" w:color="auto"/>
            <w:left w:val="single" w:sz="12" w:space="11" w:color="FF8C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https://frucom.eu/component/attachments/attachments.html?task=attachment&amp;id=2764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s://frucom.eu/circulars/5419" TargetMode="External"/><Relationship Id="rId25" Type="http://schemas.openxmlformats.org/officeDocument/2006/relationships/hyperlink" Target="https://food.ec.europa.eu/document/download/d3a28053-9f5f-4b22-bae6-4704f67b280a_en?filename=sc_phyto_20250709_ppl_agenda.pdf" TargetMode="External"/><Relationship Id="rId33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https://www.europarl.europa.eu/committees/en/the-eu-mercosur-trade-agreement/product-details/20250617CHE13206" TargetMode="External"/><Relationship Id="rId29" Type="http://schemas.openxmlformats.org/officeDocument/2006/relationships/hyperlink" Target="https://eur-lex.europa.eu/legal-content/EN/TXT/?uri=OJ:L_202501164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https://frucom.eu/component/attachments/attachments.html?task=attachment&amp;id=2760" TargetMode="External"/><Relationship Id="rId37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s://multimedia.europarl.europa.eu/en/webstreaming/inta-committee-meeting_20250624-1430-COMMITTEE-INTA" TargetMode="External"/><Relationship Id="rId31" Type="http://schemas.openxmlformats.org/officeDocument/2006/relationships/hyperlink" Target="https://frucom.eu/component/attachments/attachments.html?task=attachment&amp;id=27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https://www.europarl.europa.eu/news/en/press-room/20250623IPR29094/green-claims-directive-ep-co-rapporteurs-hold-a-press-conference-at-15-15" TargetMode="External"/><Relationship Id="rId27" Type="http://schemas.openxmlformats.org/officeDocument/2006/relationships/hyperlink" Target="https://eur-lex.europa.eu/legal-content/EN/TXT/?uri=OJ:L_202501177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https://frucom.eu/component/attachments/attachments.html?task=attachment&amp;id=2765" TargetMode="External"/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2025-06-24T05:39:00Z</dcterms:created>
  <dcterms:modified xsi:type="dcterms:W3CDTF">2025-06-24T05:39:00Z</dcterms:modified>
</cp:coreProperties>
</file>