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1ED4A" w14:textId="77777777" w:rsidR="000A7FCD" w:rsidRPr="001E4E4E" w:rsidRDefault="000A7FCD" w:rsidP="000A7FCD">
      <w:pPr>
        <w:spacing w:before="120" w:after="120" w:line="276" w:lineRule="auto"/>
        <w:jc w:val="center"/>
        <w:rPr>
          <w:rFonts w:ascii="Times New Roman" w:eastAsia="Times New Roman" w:hAnsi="Times New Roman" w:cs="Times New Roman"/>
          <w:kern w:val="0"/>
          <w:lang w:eastAsia="tr-TR"/>
          <w14:ligatures w14:val="none"/>
        </w:rPr>
      </w:pPr>
      <w:r w:rsidRPr="001E4E4E">
        <w:rPr>
          <w:rFonts w:ascii="Times New Roman" w:eastAsia="Times New Roman" w:hAnsi="Times New Roman" w:cs="Times New Roman"/>
          <w:kern w:val="0"/>
          <w:lang w:eastAsia="tr-TR"/>
          <w14:ligatures w14:val="none"/>
        </w:rPr>
        <w:t>VERGİ MEVZUATINDA GELİŞMELER</w:t>
      </w:r>
    </w:p>
    <w:p w14:paraId="5FD9169C" w14:textId="77777777" w:rsidR="000A7FCD" w:rsidRPr="001E4E4E" w:rsidRDefault="000A7FCD" w:rsidP="000A7FCD">
      <w:pPr>
        <w:spacing w:before="120" w:after="120" w:line="276"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25.</w:t>
      </w:r>
      <w:r w:rsidRPr="001E4E4E">
        <w:rPr>
          <w:rFonts w:ascii="Times New Roman" w:eastAsia="Times New Roman" w:hAnsi="Times New Roman" w:cs="Times New Roman"/>
          <w:kern w:val="0"/>
          <w:lang w:eastAsia="tr-TR"/>
          <w14:ligatures w14:val="none"/>
        </w:rPr>
        <w:t>12.2024</w:t>
      </w:r>
    </w:p>
    <w:p w14:paraId="70EE5735" w14:textId="77777777" w:rsidR="000A7FCD" w:rsidRDefault="000A7FCD" w:rsidP="000A7FCD">
      <w:pPr>
        <w:jc w:val="center"/>
        <w:rPr>
          <w:rFonts w:ascii="Times New Roman" w:hAnsi="Times New Roman" w:cs="Times New Roman"/>
          <w:b/>
          <w:bCs/>
        </w:rPr>
      </w:pPr>
    </w:p>
    <w:p w14:paraId="376D7299" w14:textId="5D390E81" w:rsidR="003F367C" w:rsidRPr="000A7FCD" w:rsidRDefault="000A7FCD" w:rsidP="000A7FCD">
      <w:pPr>
        <w:jc w:val="center"/>
        <w:rPr>
          <w:rFonts w:ascii="Times New Roman" w:hAnsi="Times New Roman" w:cs="Times New Roman"/>
          <w:b/>
          <w:bCs/>
        </w:rPr>
      </w:pPr>
      <w:r w:rsidRPr="000A7FCD">
        <w:rPr>
          <w:rFonts w:ascii="Times New Roman" w:hAnsi="Times New Roman" w:cs="Times New Roman"/>
          <w:b/>
          <w:bCs/>
        </w:rPr>
        <w:t>YÜKSEK ALKOLLÜ BAZI İÇECEKLERİN ASGARİ MAKTU VERGİ TUTARLARI İLE NARGİLE TÜTÜNLERİNİN ÖZEL TÜKETİM VERGİSİ ORANI VE ASGARİ MAKTU VERGİ TUTARI YENİDEN BELİRLENMESİNE İLİŞKİN CUMHURBAŞKANI KARARI YAYIMLANDI</w:t>
      </w:r>
    </w:p>
    <w:p w14:paraId="10DC0CDB" w14:textId="36D23971" w:rsidR="009C7FDB" w:rsidRPr="00675C16" w:rsidRDefault="000A7FCD" w:rsidP="00675C16">
      <w:pPr>
        <w:spacing w:before="120" w:after="120"/>
        <w:jc w:val="both"/>
        <w:rPr>
          <w:rFonts w:ascii="Times New Roman" w:hAnsi="Times New Roman" w:cs="Times New Roman"/>
          <w:shd w:val="clear" w:color="auto" w:fill="FFFFFF"/>
        </w:rPr>
      </w:pPr>
      <w:bookmarkStart w:id="0" w:name="_Hlk186487976"/>
      <w:r w:rsidRPr="000A7FCD">
        <w:rPr>
          <w:rFonts w:ascii="Times New Roman" w:hAnsi="Times New Roman" w:cs="Times New Roman"/>
          <w:shd w:val="clear" w:color="auto" w:fill="FFFFFF"/>
        </w:rPr>
        <w:t>25/12/2024 tarihli Resmi Gazetede yayımlan</w:t>
      </w:r>
      <w:r>
        <w:rPr>
          <w:rFonts w:ascii="Times New Roman" w:hAnsi="Times New Roman" w:cs="Times New Roman"/>
          <w:shd w:val="clear" w:color="auto" w:fill="FFFFFF"/>
        </w:rPr>
        <w:t xml:space="preserve">an </w:t>
      </w:r>
      <w:hyperlink r:id="rId6" w:history="1">
        <w:r w:rsidR="009C7FDB" w:rsidRPr="006E3D2F">
          <w:rPr>
            <w:rStyle w:val="Kpr"/>
            <w:rFonts w:ascii="Times New Roman" w:hAnsi="Times New Roman" w:cs="Times New Roman"/>
            <w:shd w:val="clear" w:color="auto" w:fill="FFFFFF"/>
          </w:rPr>
          <w:t>9309 sayılı Cumhurbaşkanı Kararı</w:t>
        </w:r>
      </w:hyperlink>
      <w:r w:rsidR="009C7FDB" w:rsidRPr="00675C16">
        <w:rPr>
          <w:rFonts w:ascii="Times New Roman" w:hAnsi="Times New Roman" w:cs="Times New Roman"/>
          <w:shd w:val="clear" w:color="auto" w:fill="FFFFFF"/>
        </w:rPr>
        <w:t xml:space="preserve"> ile, 4760 sayılı Özel Tüketim Vergisi Kanununa ekli (III) sayılı listenin (A) cetvelinde yer alan yüksek alkollü (distile) bazı içeceklerin asgari maktu vergi tutarları ile (B) cetvelinde yer alan nargile tütünlerinin özel tüketim vergisi oranı ve asgari maktu vergi tutarı 25 Aralık 2024 tarihinden itibaren geçerli olmak üzere değiştirildi</w:t>
      </w:r>
      <w:bookmarkEnd w:id="0"/>
      <w:r w:rsidR="009C7FDB" w:rsidRPr="00675C16">
        <w:rPr>
          <w:rFonts w:ascii="Times New Roman" w:hAnsi="Times New Roman" w:cs="Times New Roman"/>
          <w:shd w:val="clear" w:color="auto" w:fill="FFFFFF"/>
        </w:rPr>
        <w:t>.</w:t>
      </w:r>
    </w:p>
    <w:p w14:paraId="797FAF1A" w14:textId="25DEC933" w:rsidR="009C7FDB" w:rsidRPr="00675C16" w:rsidRDefault="009C7FDB" w:rsidP="00675C16">
      <w:pPr>
        <w:spacing w:before="120" w:after="120"/>
        <w:jc w:val="both"/>
        <w:rPr>
          <w:rFonts w:ascii="Times New Roman" w:hAnsi="Times New Roman" w:cs="Times New Roman"/>
          <w:shd w:val="clear" w:color="auto" w:fill="FFFFFF"/>
        </w:rPr>
      </w:pPr>
      <w:r w:rsidRPr="009B5122">
        <w:rPr>
          <w:rFonts w:ascii="Times New Roman" w:hAnsi="Times New Roman" w:cs="Times New Roman"/>
          <w:u w:val="thick"/>
          <w:shd w:val="clear" w:color="auto" w:fill="FFFFFF"/>
        </w:rPr>
        <w:t>Yapılan değişiklik ile</w:t>
      </w:r>
      <w:r w:rsidR="00675C16" w:rsidRPr="00675C16">
        <w:rPr>
          <w:rFonts w:ascii="Times New Roman" w:hAnsi="Times New Roman" w:cs="Times New Roman"/>
          <w:shd w:val="clear" w:color="auto" w:fill="FFFFFF"/>
        </w:rPr>
        <w:t xml:space="preserve">; </w:t>
      </w:r>
      <w:r w:rsidR="000A7FCD">
        <w:rPr>
          <w:rFonts w:ascii="Times New Roman" w:hAnsi="Times New Roman" w:cs="Times New Roman"/>
          <w:shd w:val="clear" w:color="auto" w:fill="FFFFFF"/>
        </w:rPr>
        <w:t xml:space="preserve">Söz konusu ürünlerde </w:t>
      </w:r>
      <w:r w:rsidR="00675C16" w:rsidRPr="00675C16">
        <w:rPr>
          <w:rFonts w:ascii="Times New Roman" w:hAnsi="Times New Roman" w:cs="Times New Roman"/>
          <w:shd w:val="clear" w:color="auto" w:fill="FFFFFF"/>
        </w:rPr>
        <w:t>yeni vergi oran ve tutarları aşağıdaki gibi olmuştur.</w:t>
      </w:r>
    </w:p>
    <w:p w14:paraId="0D3A4E97" w14:textId="20638FCC" w:rsidR="007F0234" w:rsidRPr="009F65A6" w:rsidRDefault="007F0234">
      <w:pPr>
        <w:rPr>
          <w:rFonts w:ascii="Times New Roman" w:hAnsi="Times New Roman" w:cs="Times New Roman"/>
        </w:rPr>
      </w:pPr>
    </w:p>
    <w:tbl>
      <w:tblPr>
        <w:tblStyle w:val="TabloKlavuzu"/>
        <w:tblW w:w="9142" w:type="dxa"/>
        <w:tblLook w:val="04A0" w:firstRow="1" w:lastRow="0" w:firstColumn="1" w:lastColumn="0" w:noHBand="0" w:noVBand="1"/>
      </w:tblPr>
      <w:tblGrid>
        <w:gridCol w:w="1477"/>
        <w:gridCol w:w="4151"/>
        <w:gridCol w:w="670"/>
        <w:gridCol w:w="670"/>
        <w:gridCol w:w="1056"/>
        <w:gridCol w:w="1118"/>
      </w:tblGrid>
      <w:tr w:rsidR="00675C16" w:rsidRPr="009F65A6" w14:paraId="4AEBD692" w14:textId="2D833690" w:rsidTr="00675C16">
        <w:tc>
          <w:tcPr>
            <w:tcW w:w="1477" w:type="dxa"/>
            <w:vMerge w:val="restart"/>
          </w:tcPr>
          <w:p w14:paraId="3DB8911D" w14:textId="125D3557" w:rsidR="00675C16" w:rsidRPr="00321499" w:rsidRDefault="00675C16">
            <w:pPr>
              <w:rPr>
                <w:rFonts w:ascii="Times New Roman" w:hAnsi="Times New Roman" w:cs="Times New Roman"/>
                <w:b/>
                <w:bCs/>
              </w:rPr>
            </w:pPr>
            <w:r w:rsidRPr="00321499">
              <w:rPr>
                <w:rFonts w:ascii="Times New Roman" w:hAnsi="Times New Roman" w:cs="Times New Roman"/>
                <w:b/>
                <w:bCs/>
              </w:rPr>
              <w:t>GTİP No:</w:t>
            </w:r>
          </w:p>
        </w:tc>
        <w:tc>
          <w:tcPr>
            <w:tcW w:w="4188" w:type="dxa"/>
            <w:vMerge w:val="restart"/>
          </w:tcPr>
          <w:p w14:paraId="6CA3DCAD" w14:textId="19695D41"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Mal İsmi</w:t>
            </w:r>
          </w:p>
        </w:tc>
        <w:tc>
          <w:tcPr>
            <w:tcW w:w="1302" w:type="dxa"/>
            <w:gridSpan w:val="2"/>
          </w:tcPr>
          <w:p w14:paraId="444589F2" w14:textId="11F9DC84"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Vergi Oranı</w:t>
            </w:r>
          </w:p>
        </w:tc>
        <w:tc>
          <w:tcPr>
            <w:tcW w:w="2175" w:type="dxa"/>
            <w:gridSpan w:val="2"/>
          </w:tcPr>
          <w:p w14:paraId="1DD0F946" w14:textId="474F3232"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Asgari Maktu Vergi TL</w:t>
            </w:r>
          </w:p>
        </w:tc>
      </w:tr>
      <w:tr w:rsidR="00675C16" w:rsidRPr="009F65A6" w14:paraId="6D22E5EF" w14:textId="74F7A66D" w:rsidTr="00675C16">
        <w:trPr>
          <w:trHeight w:val="58"/>
        </w:trPr>
        <w:tc>
          <w:tcPr>
            <w:tcW w:w="1477" w:type="dxa"/>
            <w:vMerge/>
          </w:tcPr>
          <w:p w14:paraId="646C8FDC" w14:textId="77777777" w:rsidR="00675C16" w:rsidRPr="00321499" w:rsidRDefault="00675C16">
            <w:pPr>
              <w:rPr>
                <w:rFonts w:ascii="Times New Roman" w:hAnsi="Times New Roman" w:cs="Times New Roman"/>
                <w:b/>
                <w:bCs/>
              </w:rPr>
            </w:pPr>
          </w:p>
        </w:tc>
        <w:tc>
          <w:tcPr>
            <w:tcW w:w="4188" w:type="dxa"/>
            <w:vMerge/>
          </w:tcPr>
          <w:p w14:paraId="33D7D46C" w14:textId="77777777" w:rsidR="00675C16" w:rsidRPr="00321499" w:rsidRDefault="00675C16">
            <w:pPr>
              <w:rPr>
                <w:rFonts w:ascii="Times New Roman" w:hAnsi="Times New Roman" w:cs="Times New Roman"/>
                <w:b/>
                <w:bCs/>
              </w:rPr>
            </w:pPr>
          </w:p>
        </w:tc>
        <w:tc>
          <w:tcPr>
            <w:tcW w:w="643" w:type="dxa"/>
          </w:tcPr>
          <w:p w14:paraId="79FD037B" w14:textId="3F14F8B9" w:rsidR="00675C16" w:rsidRPr="00321499" w:rsidRDefault="00675C16">
            <w:pPr>
              <w:rPr>
                <w:rFonts w:ascii="Times New Roman" w:hAnsi="Times New Roman" w:cs="Times New Roman"/>
                <w:b/>
                <w:bCs/>
              </w:rPr>
            </w:pPr>
            <w:r w:rsidRPr="00321499">
              <w:rPr>
                <w:rFonts w:ascii="Times New Roman" w:hAnsi="Times New Roman" w:cs="Times New Roman"/>
                <w:b/>
                <w:bCs/>
              </w:rPr>
              <w:t xml:space="preserve">Eski </w:t>
            </w:r>
          </w:p>
        </w:tc>
        <w:tc>
          <w:tcPr>
            <w:tcW w:w="659" w:type="dxa"/>
          </w:tcPr>
          <w:p w14:paraId="6E493511" w14:textId="58AE43DE"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Yeni</w:t>
            </w:r>
          </w:p>
        </w:tc>
        <w:tc>
          <w:tcPr>
            <w:tcW w:w="1056" w:type="dxa"/>
          </w:tcPr>
          <w:p w14:paraId="7A7B7420" w14:textId="3AC9E454"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Eski</w:t>
            </w:r>
          </w:p>
        </w:tc>
        <w:tc>
          <w:tcPr>
            <w:tcW w:w="1119" w:type="dxa"/>
          </w:tcPr>
          <w:p w14:paraId="5BB8A60C" w14:textId="3F70FE7F" w:rsidR="00675C16" w:rsidRPr="00321499" w:rsidRDefault="00675C16" w:rsidP="0050463E">
            <w:pPr>
              <w:jc w:val="center"/>
              <w:rPr>
                <w:rFonts w:ascii="Times New Roman" w:hAnsi="Times New Roman" w:cs="Times New Roman"/>
                <w:b/>
                <w:bCs/>
              </w:rPr>
            </w:pPr>
            <w:r w:rsidRPr="00321499">
              <w:rPr>
                <w:rFonts w:ascii="Times New Roman" w:hAnsi="Times New Roman" w:cs="Times New Roman"/>
                <w:b/>
                <w:bCs/>
              </w:rPr>
              <w:t>Yeni</w:t>
            </w:r>
          </w:p>
        </w:tc>
      </w:tr>
      <w:tr w:rsidR="00675C16" w:rsidRPr="009F65A6" w14:paraId="67635096" w14:textId="55C6FD57" w:rsidTr="00675C16">
        <w:tc>
          <w:tcPr>
            <w:tcW w:w="1477" w:type="dxa"/>
          </w:tcPr>
          <w:p w14:paraId="549378A7" w14:textId="5D507CBA" w:rsidR="00675C16" w:rsidRPr="009F65A6" w:rsidRDefault="00675C16">
            <w:pPr>
              <w:rPr>
                <w:rFonts w:ascii="Times New Roman" w:hAnsi="Times New Roman" w:cs="Times New Roman"/>
                <w:sz w:val="18"/>
                <w:szCs w:val="18"/>
              </w:rPr>
            </w:pPr>
            <w:r w:rsidRPr="009F65A6">
              <w:rPr>
                <w:rFonts w:ascii="Times New Roman" w:hAnsi="Times New Roman" w:cs="Times New Roman"/>
                <w:sz w:val="18"/>
                <w:szCs w:val="18"/>
              </w:rPr>
              <w:t>2205.10.90.00.12</w:t>
            </w:r>
          </w:p>
        </w:tc>
        <w:tc>
          <w:tcPr>
            <w:tcW w:w="4188" w:type="dxa"/>
          </w:tcPr>
          <w:p w14:paraId="388881CD" w14:textId="4081CC3C" w:rsidR="00675C16" w:rsidRPr="00675C16" w:rsidRDefault="00675C16">
            <w:pPr>
              <w:rPr>
                <w:rFonts w:ascii="Times New Roman" w:hAnsi="Times New Roman" w:cs="Times New Roman"/>
                <w:sz w:val="22"/>
                <w:szCs w:val="22"/>
              </w:rPr>
            </w:pPr>
            <w:r w:rsidRPr="00675C16">
              <w:rPr>
                <w:rFonts w:ascii="Times New Roman" w:hAnsi="Times New Roman" w:cs="Times New Roman"/>
                <w:sz w:val="22"/>
                <w:szCs w:val="22"/>
              </w:rPr>
              <w:t>Alkol derecesi hacim itibariyle % 22 ve fazla olanlar</w:t>
            </w:r>
          </w:p>
        </w:tc>
        <w:tc>
          <w:tcPr>
            <w:tcW w:w="643" w:type="dxa"/>
          </w:tcPr>
          <w:p w14:paraId="67E854DC" w14:textId="18123BC3" w:rsidR="00675C16" w:rsidRPr="009F65A6" w:rsidRDefault="00675C16">
            <w:pPr>
              <w:rPr>
                <w:rFonts w:ascii="Times New Roman" w:hAnsi="Times New Roman" w:cs="Times New Roman"/>
              </w:rPr>
            </w:pPr>
            <w:r w:rsidRPr="009F65A6">
              <w:rPr>
                <w:rFonts w:ascii="Times New Roman" w:hAnsi="Times New Roman" w:cs="Times New Roman"/>
              </w:rPr>
              <w:t>0</w:t>
            </w:r>
          </w:p>
        </w:tc>
        <w:tc>
          <w:tcPr>
            <w:tcW w:w="659" w:type="dxa"/>
          </w:tcPr>
          <w:p w14:paraId="6B9B05C6" w14:textId="77777777" w:rsidR="00675C16" w:rsidRPr="009F65A6" w:rsidRDefault="00675C16" w:rsidP="009F65A6">
            <w:pPr>
              <w:jc w:val="right"/>
              <w:rPr>
                <w:rFonts w:ascii="Times New Roman" w:hAnsi="Times New Roman" w:cs="Times New Roman"/>
              </w:rPr>
            </w:pPr>
          </w:p>
        </w:tc>
        <w:tc>
          <w:tcPr>
            <w:tcW w:w="1056" w:type="dxa"/>
          </w:tcPr>
          <w:p w14:paraId="570C6F63" w14:textId="0985C31E" w:rsidR="00675C16" w:rsidRPr="009F65A6" w:rsidRDefault="00675C16" w:rsidP="009F65A6">
            <w:pPr>
              <w:jc w:val="right"/>
              <w:rPr>
                <w:rFonts w:ascii="Times New Roman" w:hAnsi="Times New Roman" w:cs="Times New Roman"/>
              </w:rPr>
            </w:pPr>
            <w:r w:rsidRPr="009F65A6">
              <w:rPr>
                <w:rFonts w:ascii="Times New Roman" w:hAnsi="Times New Roman" w:cs="Times New Roman"/>
              </w:rPr>
              <w:t>1.269,72</w:t>
            </w:r>
          </w:p>
        </w:tc>
        <w:tc>
          <w:tcPr>
            <w:tcW w:w="1119" w:type="dxa"/>
          </w:tcPr>
          <w:p w14:paraId="4DF1CA6C" w14:textId="13FA56FA" w:rsidR="00675C16" w:rsidRPr="009F65A6" w:rsidRDefault="00675C16" w:rsidP="0050463E">
            <w:pPr>
              <w:jc w:val="right"/>
              <w:rPr>
                <w:rFonts w:ascii="Times New Roman" w:hAnsi="Times New Roman" w:cs="Times New Roman"/>
              </w:rPr>
            </w:pPr>
            <w:r w:rsidRPr="009F65A6">
              <w:rPr>
                <w:rFonts w:ascii="Times New Roman" w:hAnsi="Times New Roman" w:cs="Times New Roman"/>
              </w:rPr>
              <w:t>1.428,44</w:t>
            </w:r>
          </w:p>
        </w:tc>
      </w:tr>
      <w:tr w:rsidR="00675C16" w:rsidRPr="009F65A6" w14:paraId="0F0F3AEC" w14:textId="4FEF6694" w:rsidTr="00675C16">
        <w:tc>
          <w:tcPr>
            <w:tcW w:w="1477" w:type="dxa"/>
          </w:tcPr>
          <w:p w14:paraId="681765C1" w14:textId="1D136157"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2207.20</w:t>
            </w:r>
          </w:p>
        </w:tc>
        <w:tc>
          <w:tcPr>
            <w:tcW w:w="4188" w:type="dxa"/>
          </w:tcPr>
          <w:p w14:paraId="64A78017" w14:textId="30928342" w:rsidR="00675C16" w:rsidRPr="00675C16" w:rsidRDefault="00675C16" w:rsidP="00675C16">
            <w:pPr>
              <w:ind w:right="-1101"/>
              <w:rPr>
                <w:rFonts w:ascii="Times New Roman" w:hAnsi="Times New Roman" w:cs="Times New Roman"/>
                <w:sz w:val="22"/>
                <w:szCs w:val="22"/>
              </w:rPr>
            </w:pPr>
            <w:r w:rsidRPr="00675C16">
              <w:rPr>
                <w:rFonts w:ascii="Times New Roman" w:hAnsi="Times New Roman" w:cs="Times New Roman"/>
                <w:sz w:val="22"/>
                <w:szCs w:val="22"/>
              </w:rPr>
              <w:t>Alkol derecesi ne olursa olsun tağyir (denatüre) edilmiş etil alkol ve damıtım yoluyla elde edilen diğer alkollü içkiler [Alkol derecesi ne olursa olsun tağyir (denatüre) edilmiş etil alkol hariç]</w:t>
            </w:r>
          </w:p>
        </w:tc>
        <w:tc>
          <w:tcPr>
            <w:tcW w:w="643" w:type="dxa"/>
          </w:tcPr>
          <w:p w14:paraId="08E9F08A" w14:textId="1925EFE6"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79E6EEA5" w14:textId="338BDFFE"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399C1D3C" w14:textId="35397FC1"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11BD8D1E" w14:textId="77777777" w:rsidR="00675C16" w:rsidRPr="009F65A6" w:rsidRDefault="00675C16" w:rsidP="00675C16">
            <w:pPr>
              <w:jc w:val="right"/>
              <w:rPr>
                <w:rFonts w:ascii="Times New Roman" w:hAnsi="Times New Roman" w:cs="Times New Roman"/>
              </w:rPr>
            </w:pPr>
          </w:p>
        </w:tc>
        <w:tc>
          <w:tcPr>
            <w:tcW w:w="1119" w:type="dxa"/>
          </w:tcPr>
          <w:p w14:paraId="2E3F1156" w14:textId="06B8C548"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3321EF72" w14:textId="4488D45A" w:rsidTr="00675C16">
        <w:tc>
          <w:tcPr>
            <w:tcW w:w="1477" w:type="dxa"/>
          </w:tcPr>
          <w:p w14:paraId="5654277B" w14:textId="04863E57"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22.08</w:t>
            </w:r>
          </w:p>
        </w:tc>
        <w:tc>
          <w:tcPr>
            <w:tcW w:w="4188" w:type="dxa"/>
          </w:tcPr>
          <w:p w14:paraId="757B78EA" w14:textId="20233CD0"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Alkol derecesi hacim itibariyle % 80'den az olan tağyir (denatüre) edilmemiş etil alkol; damıtım yoluyla elde edilen alkollü içkiler, likörler ve diğer alkollü içecekler [(2208.90.91; 2208.90.99) Alkol derecesi hacim itibariyle % 80'den az olan tağyir (denatüre) edilmemiş etil alkol hariç, (2208.20; 2208.50; 2208.60; 2208.70 ve 2208.90 hariç)]</w:t>
            </w:r>
          </w:p>
        </w:tc>
        <w:tc>
          <w:tcPr>
            <w:tcW w:w="643" w:type="dxa"/>
          </w:tcPr>
          <w:p w14:paraId="1CDAA40B" w14:textId="672CBC71"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5511084B" w14:textId="181CEBB1"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3A4626E0" w14:textId="2B5E207C"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0AD3F75E" w14:textId="77777777" w:rsidR="00675C16" w:rsidRPr="009F65A6" w:rsidRDefault="00675C16" w:rsidP="00675C16">
            <w:pPr>
              <w:jc w:val="right"/>
              <w:rPr>
                <w:rFonts w:ascii="Times New Roman" w:hAnsi="Times New Roman" w:cs="Times New Roman"/>
              </w:rPr>
            </w:pPr>
          </w:p>
        </w:tc>
        <w:tc>
          <w:tcPr>
            <w:tcW w:w="1119" w:type="dxa"/>
          </w:tcPr>
          <w:p w14:paraId="50475ECE" w14:textId="304E2177"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0EC2DDF4" w14:textId="5D0CE411" w:rsidTr="00675C16">
        <w:tc>
          <w:tcPr>
            <w:tcW w:w="1477" w:type="dxa"/>
          </w:tcPr>
          <w:p w14:paraId="37EBC1BB" w14:textId="40C09BCA"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2208.20</w:t>
            </w:r>
          </w:p>
        </w:tc>
        <w:tc>
          <w:tcPr>
            <w:tcW w:w="4188" w:type="dxa"/>
          </w:tcPr>
          <w:p w14:paraId="6CE3D33E" w14:textId="77777777"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Üzüm şarabı veya üzüm cibresinin damıtılması yolu ile elde edilen alkollü içkiler</w:t>
            </w:r>
          </w:p>
          <w:p w14:paraId="6A73F5B1" w14:textId="77777777" w:rsidR="00675C16" w:rsidRPr="00675C16" w:rsidRDefault="00675C16" w:rsidP="00675C16">
            <w:pPr>
              <w:rPr>
                <w:rFonts w:ascii="Times New Roman" w:hAnsi="Times New Roman" w:cs="Times New Roman"/>
                <w:sz w:val="22"/>
                <w:szCs w:val="22"/>
              </w:rPr>
            </w:pPr>
          </w:p>
        </w:tc>
        <w:tc>
          <w:tcPr>
            <w:tcW w:w="643" w:type="dxa"/>
          </w:tcPr>
          <w:p w14:paraId="7DA565DB" w14:textId="4A3ED071"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5A5F6DBA" w14:textId="288AA5AA"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66CF57B0" w14:textId="0977F785"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4D418B9A" w14:textId="77777777" w:rsidR="00675C16" w:rsidRPr="009F65A6" w:rsidRDefault="00675C16" w:rsidP="00675C16">
            <w:pPr>
              <w:jc w:val="right"/>
              <w:rPr>
                <w:rFonts w:ascii="Times New Roman" w:hAnsi="Times New Roman" w:cs="Times New Roman"/>
              </w:rPr>
            </w:pPr>
          </w:p>
        </w:tc>
        <w:tc>
          <w:tcPr>
            <w:tcW w:w="1119" w:type="dxa"/>
          </w:tcPr>
          <w:p w14:paraId="52965B35" w14:textId="3B63F692"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633F2220" w14:textId="6D35E3D5" w:rsidTr="00675C16">
        <w:tc>
          <w:tcPr>
            <w:tcW w:w="1477" w:type="dxa"/>
          </w:tcPr>
          <w:p w14:paraId="64C98339" w14:textId="15C4AB16"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208.50</w:t>
            </w:r>
          </w:p>
        </w:tc>
        <w:tc>
          <w:tcPr>
            <w:tcW w:w="4188" w:type="dxa"/>
          </w:tcPr>
          <w:p w14:paraId="21BC1AA5" w14:textId="448CB9DB"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Cin ve Geneva</w:t>
            </w:r>
          </w:p>
        </w:tc>
        <w:tc>
          <w:tcPr>
            <w:tcW w:w="643" w:type="dxa"/>
          </w:tcPr>
          <w:p w14:paraId="4856E5DC" w14:textId="7E10A47E"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3ED4C28D" w14:textId="6A0245B8"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5F836A49" w14:textId="1A014C31"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48BD126C" w14:textId="77777777" w:rsidR="00675C16" w:rsidRPr="009F65A6" w:rsidRDefault="00675C16" w:rsidP="00675C16">
            <w:pPr>
              <w:jc w:val="right"/>
              <w:rPr>
                <w:rFonts w:ascii="Times New Roman" w:hAnsi="Times New Roman" w:cs="Times New Roman"/>
              </w:rPr>
            </w:pPr>
          </w:p>
        </w:tc>
        <w:tc>
          <w:tcPr>
            <w:tcW w:w="1119" w:type="dxa"/>
          </w:tcPr>
          <w:p w14:paraId="47724B94" w14:textId="4F915DBE"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0C271A34" w14:textId="06CA4782" w:rsidTr="00675C16">
        <w:tc>
          <w:tcPr>
            <w:tcW w:w="1477" w:type="dxa"/>
          </w:tcPr>
          <w:p w14:paraId="080D1BCA" w14:textId="1F90B18C"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2208.60</w:t>
            </w:r>
          </w:p>
        </w:tc>
        <w:tc>
          <w:tcPr>
            <w:tcW w:w="4188" w:type="dxa"/>
          </w:tcPr>
          <w:p w14:paraId="79EFD904" w14:textId="75F10044"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Votka</w:t>
            </w:r>
          </w:p>
        </w:tc>
        <w:tc>
          <w:tcPr>
            <w:tcW w:w="643" w:type="dxa"/>
          </w:tcPr>
          <w:p w14:paraId="016556FB" w14:textId="16C61918"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2762DED3" w14:textId="74399150"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48BD63BE" w14:textId="03387165"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27C69DA6" w14:textId="77777777" w:rsidR="00675C16" w:rsidRPr="009F65A6" w:rsidRDefault="00675C16" w:rsidP="00675C16">
            <w:pPr>
              <w:jc w:val="right"/>
              <w:rPr>
                <w:rFonts w:ascii="Times New Roman" w:hAnsi="Times New Roman" w:cs="Times New Roman"/>
              </w:rPr>
            </w:pPr>
          </w:p>
        </w:tc>
        <w:tc>
          <w:tcPr>
            <w:tcW w:w="1119" w:type="dxa"/>
          </w:tcPr>
          <w:p w14:paraId="1925F86E" w14:textId="24A84871"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2134FC17" w14:textId="60B86242" w:rsidTr="00675C16">
        <w:tc>
          <w:tcPr>
            <w:tcW w:w="1477" w:type="dxa"/>
          </w:tcPr>
          <w:p w14:paraId="5324F19A" w14:textId="752E4D40"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2208.60</w:t>
            </w:r>
          </w:p>
        </w:tc>
        <w:tc>
          <w:tcPr>
            <w:tcW w:w="4188" w:type="dxa"/>
          </w:tcPr>
          <w:p w14:paraId="4B5585B0" w14:textId="2EA1F30D"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Muhtevası 2 litreyi geçmeyen kaplarda olanlar (Alkol derecesi hacim itibariyle % 45.4'den fazla olanlar)</w:t>
            </w:r>
          </w:p>
        </w:tc>
        <w:tc>
          <w:tcPr>
            <w:tcW w:w="643" w:type="dxa"/>
          </w:tcPr>
          <w:p w14:paraId="2AF67FEA" w14:textId="012EC290"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1C50C1FC" w14:textId="5F88925C"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79EABC04" w14:textId="170B01CD"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4D95F8B7" w14:textId="77777777" w:rsidR="00675C16" w:rsidRPr="009F65A6" w:rsidRDefault="00675C16" w:rsidP="00675C16">
            <w:pPr>
              <w:jc w:val="right"/>
              <w:rPr>
                <w:rFonts w:ascii="Times New Roman" w:hAnsi="Times New Roman" w:cs="Times New Roman"/>
              </w:rPr>
            </w:pPr>
          </w:p>
        </w:tc>
        <w:tc>
          <w:tcPr>
            <w:tcW w:w="1119" w:type="dxa"/>
          </w:tcPr>
          <w:p w14:paraId="1C9E7710" w14:textId="3D3BDE04"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64DAF67E" w14:textId="77777777" w:rsidTr="00675C16">
        <w:tc>
          <w:tcPr>
            <w:tcW w:w="1477" w:type="dxa"/>
          </w:tcPr>
          <w:p w14:paraId="6F0BD257" w14:textId="4415A9C2"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7257 2208.60.99.00.00</w:t>
            </w:r>
          </w:p>
        </w:tc>
        <w:tc>
          <w:tcPr>
            <w:tcW w:w="4188" w:type="dxa"/>
          </w:tcPr>
          <w:p w14:paraId="33915382" w14:textId="174F0265"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Muhtevası 2 litreyi geçen kaplarda olanlar (Alkol derecesi hacim itibariyle % 45.4'den fazla olanlar)</w:t>
            </w:r>
          </w:p>
        </w:tc>
        <w:tc>
          <w:tcPr>
            <w:tcW w:w="643" w:type="dxa"/>
          </w:tcPr>
          <w:p w14:paraId="693D7E76" w14:textId="3CC10882"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525642D6" w14:textId="1563CDA2"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547040E3" w14:textId="612E8FFA"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772965B5" w14:textId="77777777" w:rsidR="00675C16" w:rsidRPr="009F65A6" w:rsidRDefault="00675C16" w:rsidP="00675C16">
            <w:pPr>
              <w:jc w:val="right"/>
              <w:rPr>
                <w:rFonts w:ascii="Times New Roman" w:hAnsi="Times New Roman" w:cs="Times New Roman"/>
              </w:rPr>
            </w:pPr>
          </w:p>
        </w:tc>
        <w:tc>
          <w:tcPr>
            <w:tcW w:w="1119" w:type="dxa"/>
          </w:tcPr>
          <w:p w14:paraId="0A2FBFBA" w14:textId="71762040"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33D75058" w14:textId="77777777" w:rsidTr="00675C16">
        <w:tc>
          <w:tcPr>
            <w:tcW w:w="1477" w:type="dxa"/>
          </w:tcPr>
          <w:p w14:paraId="3F2F3B41" w14:textId="53E1A6F5"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lastRenderedPageBreak/>
              <w:t>2208.70</w:t>
            </w:r>
          </w:p>
        </w:tc>
        <w:tc>
          <w:tcPr>
            <w:tcW w:w="4188" w:type="dxa"/>
          </w:tcPr>
          <w:p w14:paraId="120113A5" w14:textId="15E9C731"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Likörler</w:t>
            </w:r>
          </w:p>
        </w:tc>
        <w:tc>
          <w:tcPr>
            <w:tcW w:w="643" w:type="dxa"/>
          </w:tcPr>
          <w:p w14:paraId="4E5B4B0D" w14:textId="2F1E4AEA"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3693E4C5" w14:textId="30D47D25"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382CC534" w14:textId="524EDD7D"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1F5B0EB6" w14:textId="77777777" w:rsidR="00675C16" w:rsidRPr="009F65A6" w:rsidRDefault="00675C16" w:rsidP="00675C16">
            <w:pPr>
              <w:jc w:val="right"/>
              <w:rPr>
                <w:rFonts w:ascii="Times New Roman" w:hAnsi="Times New Roman" w:cs="Times New Roman"/>
              </w:rPr>
            </w:pPr>
          </w:p>
        </w:tc>
        <w:tc>
          <w:tcPr>
            <w:tcW w:w="1119" w:type="dxa"/>
          </w:tcPr>
          <w:p w14:paraId="03501F8F" w14:textId="28963FB2"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5F3E83C7" w14:textId="77777777" w:rsidTr="00675C16">
        <w:tc>
          <w:tcPr>
            <w:tcW w:w="1477" w:type="dxa"/>
          </w:tcPr>
          <w:p w14:paraId="66321DEE" w14:textId="3AC86784" w:rsidR="00675C16" w:rsidRPr="009F65A6" w:rsidRDefault="00675C16" w:rsidP="00675C16">
            <w:pPr>
              <w:rPr>
                <w:rFonts w:ascii="Times New Roman" w:hAnsi="Times New Roman" w:cs="Times New Roman"/>
                <w:sz w:val="18"/>
                <w:szCs w:val="18"/>
              </w:rPr>
            </w:pPr>
            <w:r w:rsidRPr="009F65A6">
              <w:rPr>
                <w:rFonts w:ascii="Times New Roman" w:hAnsi="Times New Roman" w:cs="Times New Roman"/>
                <w:sz w:val="18"/>
                <w:szCs w:val="18"/>
              </w:rPr>
              <w:t>2208.90</w:t>
            </w:r>
          </w:p>
        </w:tc>
        <w:tc>
          <w:tcPr>
            <w:tcW w:w="4188" w:type="dxa"/>
          </w:tcPr>
          <w:p w14:paraId="2BB31BC3" w14:textId="0495DA8F" w:rsidR="00675C16" w:rsidRPr="00675C16" w:rsidRDefault="00675C16" w:rsidP="00675C16">
            <w:pPr>
              <w:rPr>
                <w:rFonts w:ascii="Times New Roman" w:hAnsi="Times New Roman" w:cs="Times New Roman"/>
                <w:sz w:val="22"/>
                <w:szCs w:val="22"/>
              </w:rPr>
            </w:pPr>
            <w:r w:rsidRPr="00675C16">
              <w:rPr>
                <w:rFonts w:ascii="Times New Roman" w:hAnsi="Times New Roman" w:cs="Times New Roman"/>
                <w:sz w:val="22"/>
                <w:szCs w:val="22"/>
              </w:rPr>
              <w:t>Diğerleri</w:t>
            </w:r>
          </w:p>
        </w:tc>
        <w:tc>
          <w:tcPr>
            <w:tcW w:w="643" w:type="dxa"/>
          </w:tcPr>
          <w:p w14:paraId="113CDBB0" w14:textId="27166768" w:rsidR="00675C16" w:rsidRPr="009F65A6" w:rsidRDefault="00675C16" w:rsidP="00675C16">
            <w:pPr>
              <w:rPr>
                <w:rFonts w:ascii="Times New Roman" w:hAnsi="Times New Roman" w:cs="Times New Roman"/>
              </w:rPr>
            </w:pPr>
            <w:r w:rsidRPr="009F65A6">
              <w:rPr>
                <w:rFonts w:ascii="Times New Roman" w:hAnsi="Times New Roman" w:cs="Times New Roman"/>
              </w:rPr>
              <w:t>0</w:t>
            </w:r>
          </w:p>
        </w:tc>
        <w:tc>
          <w:tcPr>
            <w:tcW w:w="659" w:type="dxa"/>
          </w:tcPr>
          <w:p w14:paraId="66B1499C" w14:textId="62D1BE3E" w:rsidR="00675C16" w:rsidRPr="009F65A6" w:rsidRDefault="00675C16" w:rsidP="00675C16">
            <w:pPr>
              <w:jc w:val="right"/>
              <w:rPr>
                <w:rFonts w:ascii="Times New Roman" w:hAnsi="Times New Roman" w:cs="Times New Roman"/>
              </w:rPr>
            </w:pPr>
            <w:r w:rsidRPr="009F65A6">
              <w:rPr>
                <w:rFonts w:ascii="Times New Roman" w:hAnsi="Times New Roman" w:cs="Times New Roman"/>
              </w:rPr>
              <w:t>0</w:t>
            </w:r>
          </w:p>
        </w:tc>
        <w:tc>
          <w:tcPr>
            <w:tcW w:w="1056" w:type="dxa"/>
          </w:tcPr>
          <w:p w14:paraId="2189CF29" w14:textId="62BC23AB" w:rsidR="00675C16" w:rsidRPr="009F65A6" w:rsidRDefault="00675C16" w:rsidP="00675C16">
            <w:pPr>
              <w:jc w:val="right"/>
              <w:rPr>
                <w:rFonts w:ascii="Times New Roman" w:hAnsi="Times New Roman" w:cs="Times New Roman"/>
              </w:rPr>
            </w:pPr>
            <w:r w:rsidRPr="009F65A6">
              <w:rPr>
                <w:rFonts w:ascii="Times New Roman" w:hAnsi="Times New Roman" w:cs="Times New Roman"/>
              </w:rPr>
              <w:t>1.269,72</w:t>
            </w:r>
          </w:p>
          <w:p w14:paraId="66C4AC3A" w14:textId="77777777" w:rsidR="00675C16" w:rsidRPr="009F65A6" w:rsidRDefault="00675C16" w:rsidP="00675C16">
            <w:pPr>
              <w:jc w:val="right"/>
              <w:rPr>
                <w:rFonts w:ascii="Times New Roman" w:hAnsi="Times New Roman" w:cs="Times New Roman"/>
              </w:rPr>
            </w:pPr>
          </w:p>
        </w:tc>
        <w:tc>
          <w:tcPr>
            <w:tcW w:w="1119" w:type="dxa"/>
          </w:tcPr>
          <w:p w14:paraId="22101D3D" w14:textId="3EDD0B39" w:rsidR="00675C16" w:rsidRPr="009F65A6" w:rsidRDefault="00675C16" w:rsidP="00675C16">
            <w:pPr>
              <w:jc w:val="right"/>
              <w:rPr>
                <w:rFonts w:ascii="Times New Roman" w:hAnsi="Times New Roman" w:cs="Times New Roman"/>
              </w:rPr>
            </w:pPr>
            <w:r w:rsidRPr="009F65A6">
              <w:rPr>
                <w:rFonts w:ascii="Times New Roman" w:hAnsi="Times New Roman" w:cs="Times New Roman"/>
              </w:rPr>
              <w:t>1.428,44</w:t>
            </w:r>
          </w:p>
        </w:tc>
      </w:tr>
      <w:tr w:rsidR="00675C16" w:rsidRPr="009F65A6" w14:paraId="3200FAE7" w14:textId="77777777" w:rsidTr="00675C16">
        <w:tc>
          <w:tcPr>
            <w:tcW w:w="1477" w:type="dxa"/>
          </w:tcPr>
          <w:p w14:paraId="7C52423B" w14:textId="4DF5040D" w:rsidR="00675C16" w:rsidRPr="009F65A6" w:rsidRDefault="00675C16">
            <w:pPr>
              <w:rPr>
                <w:rFonts w:ascii="Times New Roman" w:hAnsi="Times New Roman" w:cs="Times New Roman"/>
                <w:sz w:val="18"/>
                <w:szCs w:val="18"/>
              </w:rPr>
            </w:pPr>
            <w:r w:rsidRPr="009F65A6">
              <w:rPr>
                <w:rFonts w:ascii="Times New Roman" w:hAnsi="Times New Roman" w:cs="Times New Roman"/>
                <w:sz w:val="18"/>
                <w:szCs w:val="18"/>
              </w:rPr>
              <w:t>2403.11.00.00.00</w:t>
            </w:r>
          </w:p>
        </w:tc>
        <w:tc>
          <w:tcPr>
            <w:tcW w:w="4188" w:type="dxa"/>
          </w:tcPr>
          <w:p w14:paraId="7AC3C292" w14:textId="7D8AE4F0" w:rsidR="00675C16" w:rsidRPr="00675C16" w:rsidRDefault="00675C16">
            <w:pPr>
              <w:rPr>
                <w:rFonts w:ascii="Times New Roman" w:hAnsi="Times New Roman" w:cs="Times New Roman"/>
                <w:sz w:val="22"/>
                <w:szCs w:val="22"/>
              </w:rPr>
            </w:pPr>
            <w:r w:rsidRPr="00675C16">
              <w:rPr>
                <w:rFonts w:ascii="Times New Roman" w:hAnsi="Times New Roman" w:cs="Times New Roman"/>
                <w:sz w:val="22"/>
                <w:szCs w:val="22"/>
              </w:rPr>
              <w:t>Bu faslın 1 no.lu alt pozisyon notunda belirtilen nargile tütünleri</w:t>
            </w:r>
          </w:p>
        </w:tc>
        <w:tc>
          <w:tcPr>
            <w:tcW w:w="643" w:type="dxa"/>
          </w:tcPr>
          <w:p w14:paraId="274C642D" w14:textId="77777777" w:rsidR="00675C16" w:rsidRPr="009F65A6" w:rsidRDefault="00675C16">
            <w:pPr>
              <w:rPr>
                <w:rFonts w:ascii="Times New Roman" w:hAnsi="Times New Roman" w:cs="Times New Roman"/>
              </w:rPr>
            </w:pPr>
            <w:r w:rsidRPr="009F65A6">
              <w:rPr>
                <w:rFonts w:ascii="Times New Roman" w:hAnsi="Times New Roman" w:cs="Times New Roman"/>
              </w:rPr>
              <w:t>63</w:t>
            </w:r>
          </w:p>
          <w:p w14:paraId="430C6608" w14:textId="38ABD5B5" w:rsidR="00675C16" w:rsidRPr="009F65A6" w:rsidRDefault="00675C16">
            <w:pPr>
              <w:rPr>
                <w:rFonts w:ascii="Times New Roman" w:hAnsi="Times New Roman" w:cs="Times New Roman"/>
              </w:rPr>
            </w:pPr>
          </w:p>
        </w:tc>
        <w:tc>
          <w:tcPr>
            <w:tcW w:w="659" w:type="dxa"/>
          </w:tcPr>
          <w:p w14:paraId="5621B20D" w14:textId="568E11D2" w:rsidR="00675C16" w:rsidRPr="009F65A6" w:rsidRDefault="00675C16" w:rsidP="009F65A6">
            <w:pPr>
              <w:jc w:val="right"/>
              <w:rPr>
                <w:rFonts w:ascii="Times New Roman" w:hAnsi="Times New Roman" w:cs="Times New Roman"/>
              </w:rPr>
            </w:pPr>
            <w:r>
              <w:rPr>
                <w:rFonts w:ascii="Times New Roman" w:hAnsi="Times New Roman" w:cs="Times New Roman"/>
              </w:rPr>
              <w:t>0</w:t>
            </w:r>
          </w:p>
        </w:tc>
        <w:tc>
          <w:tcPr>
            <w:tcW w:w="1056" w:type="dxa"/>
          </w:tcPr>
          <w:p w14:paraId="4DB318A6" w14:textId="3A61D47E" w:rsidR="00675C16" w:rsidRPr="009F65A6" w:rsidRDefault="00675C16" w:rsidP="009F65A6">
            <w:pPr>
              <w:jc w:val="right"/>
              <w:rPr>
                <w:rFonts w:ascii="Times New Roman" w:hAnsi="Times New Roman" w:cs="Times New Roman"/>
              </w:rPr>
            </w:pPr>
            <w:r w:rsidRPr="009F65A6">
              <w:rPr>
                <w:rFonts w:ascii="Times New Roman" w:hAnsi="Times New Roman" w:cs="Times New Roman"/>
              </w:rPr>
              <w:t>0,3358</w:t>
            </w:r>
          </w:p>
        </w:tc>
        <w:tc>
          <w:tcPr>
            <w:tcW w:w="1119" w:type="dxa"/>
          </w:tcPr>
          <w:p w14:paraId="29992178" w14:textId="012469E1" w:rsidR="00675C16" w:rsidRPr="009F65A6" w:rsidRDefault="00675C16" w:rsidP="009F65A6">
            <w:pPr>
              <w:jc w:val="right"/>
              <w:rPr>
                <w:rFonts w:ascii="Times New Roman" w:hAnsi="Times New Roman" w:cs="Times New Roman"/>
              </w:rPr>
            </w:pPr>
            <w:r>
              <w:rPr>
                <w:rFonts w:ascii="Times New Roman" w:hAnsi="Times New Roman" w:cs="Times New Roman"/>
              </w:rPr>
              <w:t>0,5632</w:t>
            </w:r>
          </w:p>
          <w:p w14:paraId="6AC566AD" w14:textId="77777777" w:rsidR="00675C16" w:rsidRPr="009F65A6" w:rsidRDefault="00675C16" w:rsidP="009F65A6">
            <w:pPr>
              <w:jc w:val="right"/>
              <w:rPr>
                <w:rFonts w:ascii="Times New Roman" w:hAnsi="Times New Roman" w:cs="Times New Roman"/>
              </w:rPr>
            </w:pPr>
          </w:p>
        </w:tc>
      </w:tr>
    </w:tbl>
    <w:p w14:paraId="5505AB61" w14:textId="77777777" w:rsidR="00C42C03" w:rsidRPr="009F65A6" w:rsidRDefault="00C42C03">
      <w:pPr>
        <w:rPr>
          <w:rFonts w:ascii="Times New Roman" w:hAnsi="Times New Roman" w:cs="Times New Roman"/>
        </w:rPr>
      </w:pPr>
    </w:p>
    <w:p w14:paraId="41F99A6B" w14:textId="4EEC4AD2" w:rsidR="009C7FDB" w:rsidRDefault="009C7FDB" w:rsidP="009C7FDB">
      <w:pPr>
        <w:spacing w:before="120" w:after="120"/>
        <w:jc w:val="both"/>
        <w:rPr>
          <w:rFonts w:ascii="Times New Roman" w:hAnsi="Times New Roman" w:cs="Times New Roman"/>
          <w:shd w:val="clear" w:color="auto" w:fill="FFFFFF"/>
        </w:rPr>
      </w:pPr>
      <w:r w:rsidRPr="00040700">
        <w:rPr>
          <w:rFonts w:ascii="Times New Roman" w:hAnsi="Times New Roman" w:cs="Times New Roman"/>
          <w:shd w:val="clear" w:color="auto" w:fill="FFFFFF"/>
        </w:rPr>
        <w:t xml:space="preserve">(III) sayılı listenin </w:t>
      </w:r>
      <w:r w:rsidR="000A7FCD" w:rsidRPr="000A7FCD">
        <w:rPr>
          <w:rFonts w:ascii="Times New Roman" w:hAnsi="Times New Roman" w:cs="Times New Roman"/>
          <w:shd w:val="clear" w:color="auto" w:fill="FFFFFF"/>
        </w:rPr>
        <w:t>(A) cetvelindeki mallar için asgari maktu vergi tutarlarına göre hesaplanacak vergi tutarından az olmamak üzere yalnızca nispi vergi uygulanır. (B) cetvelindeki mallar için maktu vergi ile birlikte, asgari maktu vergi tutarına göre hesaplanacak vergi tutarından az olmamak üzere nispi vergi uygulanır</w:t>
      </w:r>
      <w:r w:rsidRPr="00E00246">
        <w:rPr>
          <w:rFonts w:ascii="Times New Roman" w:hAnsi="Times New Roman" w:cs="Times New Roman"/>
          <w:shd w:val="clear" w:color="auto" w:fill="FFFFFF"/>
        </w:rPr>
        <w:t>.</w:t>
      </w:r>
    </w:p>
    <w:p w14:paraId="3225DDA1" w14:textId="77777777" w:rsidR="000A7FCD" w:rsidRDefault="000A7FCD" w:rsidP="009C7FDB">
      <w:pPr>
        <w:spacing w:before="120" w:after="120"/>
        <w:jc w:val="both"/>
        <w:rPr>
          <w:rFonts w:ascii="Times New Roman" w:hAnsi="Times New Roman" w:cs="Times New Roman"/>
          <w:shd w:val="clear" w:color="auto" w:fill="FFFFFF"/>
        </w:rPr>
      </w:pPr>
    </w:p>
    <w:p w14:paraId="3AA68541" w14:textId="77777777" w:rsidR="004A3E7B" w:rsidRPr="00F37B41" w:rsidRDefault="004A3E7B" w:rsidP="004A3E7B">
      <w:pPr>
        <w:spacing w:before="120" w:after="120" w:line="276" w:lineRule="auto"/>
        <w:contextualSpacing/>
        <w:jc w:val="both"/>
        <w:rPr>
          <w:rFonts w:ascii="Times New Roman" w:hAnsi="Times New Roman" w:cs="Times New Roman"/>
          <w:b/>
          <w:bCs/>
          <w:shd w:val="clear" w:color="auto" w:fill="FFFFFF"/>
        </w:rPr>
      </w:pPr>
      <w:r w:rsidRPr="00F37B41">
        <w:rPr>
          <w:rFonts w:ascii="Times New Roman" w:hAnsi="Times New Roman" w:cs="Times New Roman"/>
          <w:b/>
          <w:bCs/>
          <w:shd w:val="clear" w:color="auto" w:fill="FFFFFF"/>
        </w:rPr>
        <w:t>Dr. Mustafa Bulut, YMM</w:t>
      </w:r>
    </w:p>
    <w:p w14:paraId="2152D5B9" w14:textId="77777777" w:rsidR="004A3E7B" w:rsidRPr="00F37B41" w:rsidRDefault="004A3E7B" w:rsidP="004A3E7B">
      <w:pPr>
        <w:spacing w:before="120" w:after="120" w:line="276" w:lineRule="auto"/>
        <w:contextualSpacing/>
        <w:jc w:val="both"/>
        <w:rPr>
          <w:rFonts w:ascii="Times New Roman" w:hAnsi="Times New Roman" w:cs="Times New Roman"/>
          <w:b/>
          <w:bCs/>
          <w:shd w:val="clear" w:color="auto" w:fill="FFFFFF"/>
        </w:rPr>
      </w:pPr>
      <w:r w:rsidRPr="00F37B41">
        <w:rPr>
          <w:rFonts w:ascii="Times New Roman" w:hAnsi="Times New Roman" w:cs="Times New Roman"/>
          <w:b/>
          <w:bCs/>
          <w:shd w:val="clear" w:color="auto" w:fill="FFFFFF"/>
        </w:rPr>
        <w:t>Ege İhracatçı Birlikleri Mali Danışmanı</w:t>
      </w:r>
    </w:p>
    <w:p w14:paraId="0F1BDAD3" w14:textId="77777777" w:rsidR="004A3E7B" w:rsidRPr="00040700" w:rsidRDefault="004A3E7B" w:rsidP="009C7FDB">
      <w:pPr>
        <w:spacing w:before="120" w:after="120"/>
        <w:jc w:val="both"/>
        <w:rPr>
          <w:rFonts w:ascii="Times New Roman" w:hAnsi="Times New Roman" w:cs="Times New Roman"/>
          <w:shd w:val="clear" w:color="auto" w:fill="FFFFFF"/>
        </w:rPr>
      </w:pPr>
    </w:p>
    <w:p w14:paraId="0BDF9A00" w14:textId="77777777" w:rsidR="00C42C03" w:rsidRPr="009F65A6" w:rsidRDefault="00C42C03">
      <w:pPr>
        <w:rPr>
          <w:rFonts w:ascii="Times New Roman" w:hAnsi="Times New Roman" w:cs="Times New Roman"/>
        </w:rPr>
      </w:pPr>
    </w:p>
    <w:p w14:paraId="1E14708E" w14:textId="77777777" w:rsidR="00C42C03" w:rsidRPr="009F65A6" w:rsidRDefault="00C42C03">
      <w:pPr>
        <w:rPr>
          <w:rFonts w:ascii="Times New Roman" w:hAnsi="Times New Roman" w:cs="Times New Roman"/>
        </w:rPr>
      </w:pPr>
    </w:p>
    <w:sectPr w:rsidR="00C42C03" w:rsidRPr="009F65A6" w:rsidSect="000A7FCD">
      <w:headerReference w:type="default" r:id="rId7"/>
      <w:footerReference w:type="default" r:id="rId8"/>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627CA" w14:textId="77777777" w:rsidR="00135B59" w:rsidRDefault="00135B59" w:rsidP="000A7FCD">
      <w:pPr>
        <w:spacing w:after="0" w:line="240" w:lineRule="auto"/>
      </w:pPr>
      <w:r>
        <w:separator/>
      </w:r>
    </w:p>
  </w:endnote>
  <w:endnote w:type="continuationSeparator" w:id="0">
    <w:p w14:paraId="31E281A1" w14:textId="77777777" w:rsidR="00135B59" w:rsidRDefault="00135B59" w:rsidP="000A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000000"/>
        <w:sz w:val="16"/>
        <w:szCs w:val="16"/>
        <w14:textFill>
          <w14:solidFill>
            <w14:srgbClr w14:val="000000">
              <w14:alpha w14:val="20000"/>
            </w14:srgbClr>
          </w14:solidFill>
        </w14:textFill>
      </w:rPr>
      <w:id w:val="-1769616900"/>
      <w:docPartObj>
        <w:docPartGallery w:val="Page Numbers (Top of Page)"/>
        <w:docPartUnique/>
      </w:docPartObj>
    </w:sdtPr>
    <w:sdtContent>
      <w:p w14:paraId="4333667D" w14:textId="77777777" w:rsidR="000A7FCD" w:rsidRPr="00B0268E" w:rsidRDefault="000A7FCD" w:rsidP="000A7FCD">
        <w:pPr>
          <w:pStyle w:val="AltBilgi"/>
          <w:pBdr>
            <w:top w:val="single" w:sz="4" w:space="1" w:color="A5A5A5" w:themeColor="background1" w:themeShade="A5"/>
          </w:pBdr>
          <w:tabs>
            <w:tab w:val="clear" w:pos="9072"/>
          </w:tabs>
          <w:jc w:val="center"/>
          <w:rPr>
            <w:rFonts w:ascii="Times New Roman" w:hAnsi="Times New Roman" w:cs="Times New Roman"/>
            <w:color w:val="000000"/>
            <w:sz w:val="16"/>
            <w:szCs w:val="16"/>
            <w14:textFill>
              <w14:solidFill>
                <w14:srgbClr w14:val="000000">
                  <w14:alpha w14:val="20000"/>
                </w14:srgbClr>
              </w14:solidFill>
            </w14:textFill>
          </w:rPr>
        </w:pPr>
        <w:r w:rsidRPr="00B0268E">
          <w:rPr>
            <w:rFonts w:ascii="Times New Roman" w:hAnsi="Times New Roman" w:cs="Times New Roman"/>
            <w:b/>
            <w:bCs/>
            <w:color w:val="C00000"/>
            <w:sz w:val="16"/>
            <w:szCs w:val="16"/>
            <w14:textFill>
              <w14:solidFill>
                <w14:srgbClr w14:val="C00000">
                  <w14:alpha w14:val="20000"/>
                </w14:srgbClr>
              </w14:solidFill>
            </w14:textFill>
          </w:rPr>
          <w:t xml:space="preserve">ECOVİS </w:t>
        </w:r>
        <w:r w:rsidRPr="00B0268E">
          <w:rPr>
            <w:rFonts w:ascii="Times New Roman" w:hAnsi="Times New Roman" w:cs="Times New Roman"/>
            <w:b/>
            <w:bCs/>
            <w:color w:val="000000"/>
            <w:sz w:val="16"/>
            <w:szCs w:val="16"/>
            <w14:textFill>
              <w14:solidFill>
                <w14:srgbClr w14:val="000000">
                  <w14:alpha w14:val="20000"/>
                </w14:srgbClr>
              </w14:solidFill>
            </w14:textFill>
          </w:rPr>
          <w:t>Diplomat</w:t>
        </w:r>
        <w:r w:rsidRPr="00B0268E">
          <w:rPr>
            <w:rFonts w:ascii="Times New Roman" w:hAnsi="Times New Roman" w:cs="Times New Roman"/>
            <w:color w:val="000000"/>
            <w:sz w:val="16"/>
            <w:szCs w:val="16"/>
            <w14:textFill>
              <w14:solidFill>
                <w14:srgbClr w14:val="000000">
                  <w14:alpha w14:val="20000"/>
                </w14:srgbClr>
              </w14:solidFill>
            </w14:textFill>
          </w:rPr>
          <w:t xml:space="preserve"> Denetim ve Yeminli Mali Müşavirlik A.Ş.  Folkart Tıme Ofis 2. 284 Sokak. No:2. Kat:3.D:312–Bornova/İZMİR</w:t>
        </w:r>
      </w:p>
      <w:p w14:paraId="25EF9ADC" w14:textId="77777777" w:rsidR="000A7FCD" w:rsidRPr="00B0268E" w:rsidRDefault="000A7FCD" w:rsidP="000A7FCD">
        <w:pPr>
          <w:pStyle w:val="AltBilgi"/>
          <w:pBdr>
            <w:top w:val="single" w:sz="4" w:space="1" w:color="A5A5A5" w:themeColor="background1" w:themeShade="A5"/>
          </w:pBdr>
          <w:jc w:val="center"/>
          <w:rPr>
            <w:rFonts w:ascii="Times New Roman" w:hAnsi="Times New Roman" w:cs="Times New Roman"/>
            <w:color w:val="000000"/>
            <w:sz w:val="16"/>
            <w:szCs w:val="16"/>
            <w14:textFill>
              <w14:solidFill>
                <w14:srgbClr w14:val="000000">
                  <w14:alpha w14:val="20000"/>
                </w14:srgbClr>
              </w14:solidFill>
            </w14:textFill>
          </w:rPr>
        </w:pPr>
        <w:r w:rsidRPr="00B0268E">
          <w:rPr>
            <w:rFonts w:ascii="Times New Roman" w:hAnsi="Times New Roman" w:cs="Times New Roman"/>
            <w:color w:val="000000"/>
            <w:sz w:val="16"/>
            <w:szCs w:val="16"/>
            <w14:textFill>
              <w14:solidFill>
                <w14:srgbClr w14:val="000000">
                  <w14:alpha w14:val="20000"/>
                </w14:srgbClr>
              </w14:solidFill>
            </w14:textFill>
          </w:rPr>
          <w:t>Tel : 0 232 464 49 94 - 464 49 95  Fax: 0 232 464 49 20 info@diplomatymm.com.tr</w:t>
        </w:r>
      </w:p>
      <w:p w14:paraId="7414AE67" w14:textId="77777777" w:rsidR="000A7FCD" w:rsidRPr="00B0268E" w:rsidRDefault="000A7FCD" w:rsidP="000A7FCD">
        <w:pPr>
          <w:pStyle w:val="AltBilgi"/>
          <w:jc w:val="center"/>
          <w:rPr>
            <w:rFonts w:ascii="Times New Roman" w:hAnsi="Times New Roman" w:cs="Times New Roman"/>
            <w:color w:val="000000"/>
            <w:sz w:val="16"/>
            <w:szCs w:val="16"/>
            <w14:textFill>
              <w14:solidFill>
                <w14:srgbClr w14:val="000000">
                  <w14:alpha w14:val="20000"/>
                </w14:srgbClr>
              </w14:solidFill>
            </w14:textFill>
          </w:rPr>
        </w:pPr>
        <w:r w:rsidRPr="00B0268E">
          <w:rPr>
            <w:rFonts w:ascii="Times New Roman" w:eastAsia="Calibri" w:hAnsi="Times New Roman" w:cs="Times New Roman"/>
            <w:noProof/>
            <w:color w:val="000000"/>
            <w:sz w:val="16"/>
            <w:szCs w:val="16"/>
            <w:lang w:eastAsia="tr-TR"/>
            <w14:textFill>
              <w14:solidFill>
                <w14:srgbClr w14:val="000000">
                  <w14:alpha w14:val="20000"/>
                </w14:srgbClr>
              </w14:solidFill>
            </w14:textFill>
          </w:rPr>
          <w:t>www.diplomatymm.com.tr</w:t>
        </w:r>
      </w:p>
      <w:p w14:paraId="5873A65E" w14:textId="77777777" w:rsidR="000A7FCD" w:rsidRDefault="000A7FCD" w:rsidP="000A7FCD">
        <w:pPr>
          <w:pStyle w:val="AltBilgi"/>
          <w:jc w:val="right"/>
          <w:rPr>
            <w:rFonts w:ascii="Times New Roman" w:hAnsi="Times New Roman" w:cs="Times New Roman"/>
            <w:color w:val="000000"/>
            <w:sz w:val="16"/>
            <w:szCs w:val="16"/>
            <w14:textFill>
              <w14:solidFill>
                <w14:srgbClr w14:val="000000">
                  <w14:alpha w14:val="20000"/>
                </w14:srgbClr>
              </w14:solidFill>
            </w14:textFill>
          </w:rPr>
        </w:pPr>
        <w:r w:rsidRPr="00B0268E">
          <w:rPr>
            <w:rFonts w:ascii="Times New Roman" w:hAnsi="Times New Roman" w:cs="Times New Roman"/>
            <w:color w:val="000000"/>
            <w:sz w:val="16"/>
            <w:szCs w:val="16"/>
            <w14:textFill>
              <w14:solidFill>
                <w14:srgbClr w14:val="000000">
                  <w14:alpha w14:val="20000"/>
                </w14:srgbClr>
              </w14:solidFill>
            </w14:textFill>
          </w:rPr>
          <w:t xml:space="preserve">Sayfa </w: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begin"/>
        </w:r>
        <w:r w:rsidRPr="00B0268E">
          <w:rPr>
            <w:rFonts w:ascii="Times New Roman" w:hAnsi="Times New Roman" w:cs="Times New Roman"/>
            <w:b/>
            <w:bCs/>
            <w:color w:val="000000"/>
            <w:sz w:val="16"/>
            <w:szCs w:val="16"/>
            <w14:textFill>
              <w14:solidFill>
                <w14:srgbClr w14:val="000000">
                  <w14:alpha w14:val="20000"/>
                </w14:srgbClr>
              </w14:solidFill>
            </w14:textFill>
          </w:rPr>
          <w:instrText>PAGE</w:instrTex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separate"/>
        </w:r>
        <w:r>
          <w:rPr>
            <w:rFonts w:ascii="Times New Roman" w:hAnsi="Times New Roman" w:cs="Times New Roman"/>
            <w:b/>
            <w:bCs/>
            <w:color w:val="000000"/>
            <w:sz w:val="16"/>
            <w:szCs w:val="16"/>
            <w14:textFill>
              <w14:solidFill>
                <w14:srgbClr w14:val="000000">
                  <w14:alpha w14:val="20000"/>
                </w14:srgbClr>
              </w14:solidFill>
            </w14:textFill>
          </w:rPr>
          <w:t>1</w: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end"/>
        </w:r>
        <w:r w:rsidRPr="00B0268E">
          <w:rPr>
            <w:rFonts w:ascii="Times New Roman" w:hAnsi="Times New Roman" w:cs="Times New Roman"/>
            <w:color w:val="000000"/>
            <w:sz w:val="16"/>
            <w:szCs w:val="16"/>
            <w14:textFill>
              <w14:solidFill>
                <w14:srgbClr w14:val="000000">
                  <w14:alpha w14:val="20000"/>
                </w14:srgbClr>
              </w14:solidFill>
            </w14:textFill>
          </w:rPr>
          <w:t xml:space="preserve"> / </w: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begin"/>
        </w:r>
        <w:r w:rsidRPr="00B0268E">
          <w:rPr>
            <w:rFonts w:ascii="Times New Roman" w:hAnsi="Times New Roman" w:cs="Times New Roman"/>
            <w:b/>
            <w:bCs/>
            <w:color w:val="000000"/>
            <w:sz w:val="16"/>
            <w:szCs w:val="16"/>
            <w14:textFill>
              <w14:solidFill>
                <w14:srgbClr w14:val="000000">
                  <w14:alpha w14:val="20000"/>
                </w14:srgbClr>
              </w14:solidFill>
            </w14:textFill>
          </w:rPr>
          <w:instrText>NUMPAGES</w:instrTex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separate"/>
        </w:r>
        <w:r>
          <w:rPr>
            <w:rFonts w:ascii="Times New Roman" w:hAnsi="Times New Roman" w:cs="Times New Roman"/>
            <w:b/>
            <w:bCs/>
            <w:color w:val="000000"/>
            <w:sz w:val="16"/>
            <w:szCs w:val="16"/>
            <w14:textFill>
              <w14:solidFill>
                <w14:srgbClr w14:val="000000">
                  <w14:alpha w14:val="20000"/>
                </w14:srgbClr>
              </w14:solidFill>
            </w14:textFill>
          </w:rPr>
          <w:t>1</w:t>
        </w:r>
        <w:r w:rsidRPr="00B0268E">
          <w:rPr>
            <w:rFonts w:ascii="Times New Roman" w:hAnsi="Times New Roman" w:cs="Times New Roman"/>
            <w:b/>
            <w:bCs/>
            <w:color w:val="000000"/>
            <w:sz w:val="16"/>
            <w:szCs w:val="16"/>
            <w14:textFill>
              <w14:solidFill>
                <w14:srgbClr w14:val="000000">
                  <w14:alpha w14:val="20000"/>
                </w14:srgbClr>
              </w14:solidFill>
            </w14:textFill>
          </w:rPr>
          <w:fldChar w:fldCharType="end"/>
        </w:r>
      </w:p>
    </w:sdtContent>
  </w:sdt>
  <w:p w14:paraId="5C8309BE" w14:textId="77777777" w:rsidR="000A7FCD" w:rsidRDefault="000A7F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28C7" w14:textId="77777777" w:rsidR="00135B59" w:rsidRDefault="00135B59" w:rsidP="000A7FCD">
      <w:pPr>
        <w:spacing w:after="0" w:line="240" w:lineRule="auto"/>
      </w:pPr>
      <w:r>
        <w:separator/>
      </w:r>
    </w:p>
  </w:footnote>
  <w:footnote w:type="continuationSeparator" w:id="0">
    <w:p w14:paraId="3AD53F06" w14:textId="77777777" w:rsidR="00135B59" w:rsidRDefault="00135B59" w:rsidP="000A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C4B0" w14:textId="77777777" w:rsidR="000A7FCD" w:rsidRDefault="000A7FCD" w:rsidP="000A7FCD">
    <w:pPr>
      <w:pStyle w:val="stBilgi"/>
      <w:tabs>
        <w:tab w:val="clear" w:pos="4536"/>
      </w:tabs>
      <w:jc w:val="both"/>
    </w:pPr>
    <w:bookmarkStart w:id="1" w:name="_Hlk168928055"/>
    <w:r>
      <w:rPr>
        <w:noProof/>
        <w:lang w:eastAsia="tr-TR"/>
      </w:rPr>
      <w:drawing>
        <wp:inline distT="0" distB="0" distL="0" distR="0" wp14:anchorId="78CD7D82" wp14:editId="7E54E1CE">
          <wp:extent cx="1084772" cy="265430"/>
          <wp:effectExtent l="0" t="0" r="1270" b="1270"/>
          <wp:docPr id="3" name="Resim 3"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yazı tipi, metin, ekran görüntüsü,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87" cy="273973"/>
                  </a:xfrm>
                  <a:prstGeom prst="rect">
                    <a:avLst/>
                  </a:prstGeom>
                  <a:noFill/>
                  <a:ln>
                    <a:noFill/>
                  </a:ln>
                </pic:spPr>
              </pic:pic>
            </a:graphicData>
          </a:graphic>
        </wp:inline>
      </w:drawing>
    </w:r>
    <w:r>
      <w:rPr>
        <w:noProof/>
        <w:lang w:eastAsia="tr-TR"/>
      </w:rPr>
      <w:t xml:space="preserve">    </w:t>
    </w:r>
    <w:r>
      <w:rPr>
        <w:noProof/>
        <w:lang w:eastAsia="tr-TR"/>
      </w:rPr>
      <w:tab/>
      <w:t xml:space="preserve"> </w:t>
    </w:r>
    <w:r>
      <w:rPr>
        <w:noProof/>
        <w:lang w:eastAsia="tr-TR"/>
      </w:rPr>
      <w:drawing>
        <wp:inline distT="0" distB="0" distL="0" distR="0" wp14:anchorId="19678629" wp14:editId="3392A325">
          <wp:extent cx="1019034" cy="266700"/>
          <wp:effectExtent l="0" t="0" r="0" b="0"/>
          <wp:docPr id="4" name="Resim 4" descr="yazı tipi, logo,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yazı tipi, logo, grafik,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482" cy="286969"/>
                  </a:xfrm>
                  <a:prstGeom prst="rect">
                    <a:avLst/>
                  </a:prstGeom>
                  <a:noFill/>
                  <a:ln>
                    <a:noFill/>
                  </a:ln>
                </pic:spPr>
              </pic:pic>
            </a:graphicData>
          </a:graphic>
        </wp:inline>
      </w:drawing>
    </w:r>
  </w:p>
  <w:bookmarkEnd w:id="1"/>
  <w:p w14:paraId="57707210" w14:textId="77777777" w:rsidR="000A7FCD" w:rsidRDefault="000A7F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34"/>
    <w:rsid w:val="000A7FCD"/>
    <w:rsid w:val="001240E2"/>
    <w:rsid w:val="00135B59"/>
    <w:rsid w:val="001D7FF9"/>
    <w:rsid w:val="00321499"/>
    <w:rsid w:val="00347E51"/>
    <w:rsid w:val="003F367C"/>
    <w:rsid w:val="004A3E7B"/>
    <w:rsid w:val="0050463E"/>
    <w:rsid w:val="00675C16"/>
    <w:rsid w:val="006E3D2F"/>
    <w:rsid w:val="007452AC"/>
    <w:rsid w:val="007F0234"/>
    <w:rsid w:val="00913BF4"/>
    <w:rsid w:val="009A5F3C"/>
    <w:rsid w:val="009B5122"/>
    <w:rsid w:val="009C7FDB"/>
    <w:rsid w:val="009F65A6"/>
    <w:rsid w:val="00B979BA"/>
    <w:rsid w:val="00C42C03"/>
    <w:rsid w:val="00DD28AE"/>
    <w:rsid w:val="00F10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DAA3"/>
  <w15:chartTrackingRefBased/>
  <w15:docId w15:val="{3FDE39F2-998A-406F-B523-F025E9DD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F0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F0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F02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F02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F02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F02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F02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F02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F02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02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F02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F02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02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F02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F02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F02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F02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F0234"/>
    <w:rPr>
      <w:rFonts w:eastAsiaTheme="majorEastAsia" w:cstheme="majorBidi"/>
      <w:color w:val="272727" w:themeColor="text1" w:themeTint="D8"/>
    </w:rPr>
  </w:style>
  <w:style w:type="paragraph" w:styleId="KonuBal">
    <w:name w:val="Title"/>
    <w:basedOn w:val="Normal"/>
    <w:next w:val="Normal"/>
    <w:link w:val="KonuBalChar"/>
    <w:uiPriority w:val="10"/>
    <w:qFormat/>
    <w:rsid w:val="007F0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02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02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02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02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F0234"/>
    <w:rPr>
      <w:i/>
      <w:iCs/>
      <w:color w:val="404040" w:themeColor="text1" w:themeTint="BF"/>
    </w:rPr>
  </w:style>
  <w:style w:type="paragraph" w:styleId="ListeParagraf">
    <w:name w:val="List Paragraph"/>
    <w:basedOn w:val="Normal"/>
    <w:uiPriority w:val="34"/>
    <w:qFormat/>
    <w:rsid w:val="007F0234"/>
    <w:pPr>
      <w:ind w:left="720"/>
      <w:contextualSpacing/>
    </w:pPr>
  </w:style>
  <w:style w:type="character" w:styleId="GlVurgulama">
    <w:name w:val="Intense Emphasis"/>
    <w:basedOn w:val="VarsaylanParagrafYazTipi"/>
    <w:uiPriority w:val="21"/>
    <w:qFormat/>
    <w:rsid w:val="007F0234"/>
    <w:rPr>
      <w:i/>
      <w:iCs/>
      <w:color w:val="0F4761" w:themeColor="accent1" w:themeShade="BF"/>
    </w:rPr>
  </w:style>
  <w:style w:type="paragraph" w:styleId="GlAlnt">
    <w:name w:val="Intense Quote"/>
    <w:basedOn w:val="Normal"/>
    <w:next w:val="Normal"/>
    <w:link w:val="GlAlntChar"/>
    <w:uiPriority w:val="30"/>
    <w:qFormat/>
    <w:rsid w:val="007F0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F0234"/>
    <w:rPr>
      <w:i/>
      <w:iCs/>
      <w:color w:val="0F4761" w:themeColor="accent1" w:themeShade="BF"/>
    </w:rPr>
  </w:style>
  <w:style w:type="character" w:styleId="GlBavuru">
    <w:name w:val="Intense Reference"/>
    <w:basedOn w:val="VarsaylanParagrafYazTipi"/>
    <w:uiPriority w:val="32"/>
    <w:qFormat/>
    <w:rsid w:val="007F0234"/>
    <w:rPr>
      <w:b/>
      <w:bCs/>
      <w:smallCaps/>
      <w:color w:val="0F4761" w:themeColor="accent1" w:themeShade="BF"/>
      <w:spacing w:val="5"/>
    </w:rPr>
  </w:style>
  <w:style w:type="table" w:styleId="TabloKlavuzu">
    <w:name w:val="Table Grid"/>
    <w:basedOn w:val="NormalTablo"/>
    <w:uiPriority w:val="39"/>
    <w:rsid w:val="007F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7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7FCD"/>
  </w:style>
  <w:style w:type="paragraph" w:styleId="AltBilgi">
    <w:name w:val="footer"/>
    <w:basedOn w:val="Normal"/>
    <w:link w:val="AltBilgiChar"/>
    <w:uiPriority w:val="99"/>
    <w:unhideWhenUsed/>
    <w:rsid w:val="000A7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7FCD"/>
  </w:style>
  <w:style w:type="character" w:styleId="Kpr">
    <w:name w:val="Hyperlink"/>
    <w:basedOn w:val="VarsaylanParagrafYazTipi"/>
    <w:uiPriority w:val="99"/>
    <w:unhideWhenUsed/>
    <w:rsid w:val="006E3D2F"/>
    <w:rPr>
      <w:color w:val="467886" w:themeColor="hyperlink"/>
      <w:u w:val="single"/>
    </w:rPr>
  </w:style>
  <w:style w:type="character" w:styleId="zmlenmeyenBahsetme">
    <w:name w:val="Unresolved Mention"/>
    <w:basedOn w:val="VarsaylanParagrafYazTipi"/>
    <w:uiPriority w:val="99"/>
    <w:semiHidden/>
    <w:unhideWhenUsed/>
    <w:rsid w:val="006E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b.gov.tr/sites/default/files/fileadmin/mevzuatek/ck930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401</Words>
  <Characters>2291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DİPLOMAT YMM</dc:creator>
  <cp:keywords/>
  <dc:description/>
  <cp:lastModifiedBy>DİPLOMAT YMM</cp:lastModifiedBy>
  <cp:revision>8</cp:revision>
  <dcterms:created xsi:type="dcterms:W3CDTF">2024-12-30T17:11:00Z</dcterms:created>
  <dcterms:modified xsi:type="dcterms:W3CDTF">2024-12-31T10:20:00Z</dcterms:modified>
</cp:coreProperties>
</file>