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2F90" w:rsidRPr="00CA2F90" w14:paraId="669017C3" w14:textId="77777777" w:rsidTr="00CA2F90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A2F90" w:rsidRPr="00CA2F90" w14:paraId="10B202E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2610DF22" w14:textId="77777777" w:rsidR="00CA2F90" w:rsidRPr="00CA2F90" w:rsidRDefault="00CA2F90" w:rsidP="00CA2F90">
                  <w:pPr>
                    <w:spacing w:after="120" w:line="240" w:lineRule="auto"/>
                    <w:jc w:val="both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31/03/2025</w:t>
                  </w:r>
                </w:p>
                <w:p w14:paraId="704CDDCF" w14:textId="77777777" w:rsidR="00CA2F90" w:rsidRPr="00CA2F90" w:rsidRDefault="00CA2F90" w:rsidP="00CA2F90">
                  <w:pPr>
                    <w:numPr>
                      <w:ilvl w:val="0"/>
                      <w:numId w:val="25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ACTIVITIES</w:t>
                  </w:r>
                </w:p>
                <w:p w14:paraId="4FE652D2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Agenda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Meeting Link: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working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group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 April, 4:30 PM – 6 PM (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Brussels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) time</w:t>
                    </w:r>
                  </w:hyperlink>
                </w:p>
                <w:p w14:paraId="52042F9C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actions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EU-US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trade</w:t>
                    </w:r>
                    <w:proofErr w:type="spellEnd"/>
                  </w:hyperlink>
                </w:p>
                <w:p w14:paraId="05A34E0A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 – US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FRUCOM – DG TRADE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call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EU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US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processed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cranberries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peanut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butter</w:t>
                    </w:r>
                    <w:proofErr w:type="spellEnd"/>
                  </w:hyperlink>
                </w:p>
                <w:p w14:paraId="64F58B5B" w14:textId="77777777" w:rsidR="00CA2F90" w:rsidRPr="00CA2F90" w:rsidRDefault="00CA2F90" w:rsidP="00CA2F90">
                  <w:pPr>
                    <w:numPr>
                      <w:ilvl w:val="0"/>
                      <w:numId w:val="25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3AF004F7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EU-US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Journal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EU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delays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until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14 April 2025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return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2018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Countermeasure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US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peanut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butter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processed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</w:hyperlink>
                </w:p>
                <w:p w14:paraId="24FB4894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Invitation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EU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Civil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Dialogue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Group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Meeting on International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Aspects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Agriculture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8 April 2025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from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09:30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18:00</w:t>
                    </w:r>
                  </w:hyperlink>
                </w:p>
                <w:p w14:paraId="571C2F3B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DG TRADE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Civil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Society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Dialogue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Southeast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Asia</w:t>
                    </w:r>
                    <w:proofErr w:type="spellEnd"/>
                  </w:hyperlink>
                </w:p>
                <w:p w14:paraId="6F4CBFA0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Alternaria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proofErr w:type="gram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discussion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Data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analysis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overview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/New </w:t>
                    </w:r>
                    <w:proofErr w:type="gram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data</w:t>
                    </w:r>
                    <w:proofErr w:type="gram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call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until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May 9th</w:t>
                    </w:r>
                  </w:hyperlink>
                </w:p>
                <w:p w14:paraId="6E604B1E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Council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agrees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delay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some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reporting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due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diligence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requirements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Omnibus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proposal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)</w:t>
                    </w:r>
                  </w:hyperlink>
                </w:p>
                <w:p w14:paraId="7F2EB09C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3" w:history="1"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EU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Launches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a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Sanctions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Helpdesk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help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SMEs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comply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with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EU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sanctions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regime</w:t>
                    </w:r>
                    <w:proofErr w:type="spellEnd"/>
                  </w:hyperlink>
                </w:p>
                <w:p w14:paraId="3D3A5479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4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new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Cycloxydim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Flupyradifurone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Phosphonic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acid</w:t>
                    </w:r>
                    <w:proofErr w:type="spellEnd"/>
                  </w:hyperlink>
                </w:p>
                <w:p w14:paraId="01C76CEB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5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voting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results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February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2025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standing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committee</w:t>
                    </w:r>
                    <w:proofErr w:type="spellEnd"/>
                  </w:hyperlink>
                </w:p>
                <w:p w14:paraId="5AAA275F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6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Notes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– Meeting of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-Food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Chain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Roundtable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24th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March</w:t>
                    </w:r>
                    <w:proofErr w:type="spellEnd"/>
                  </w:hyperlink>
                </w:p>
                <w:p w14:paraId="4CB5439A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7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Waste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Regulation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Draft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industry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Annex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V Point 4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prohibiting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single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use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plastic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portion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packaging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HORECA</w:t>
                    </w:r>
                  </w:hyperlink>
                </w:p>
                <w:p w14:paraId="60EF3E7D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8" w:history="1"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Submission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Consultation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EU-US Steel </w:t>
                    </w:r>
                    <w:proofErr w:type="spellStart"/>
                    <w:proofErr w:type="gram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Aluminium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cranberries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other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</w:hyperlink>
                </w:p>
                <w:p w14:paraId="553D2F8E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9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conclusion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MRL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deltamethrin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in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cherries</w:t>
                    </w:r>
                    <w:proofErr w:type="spellEnd"/>
                  </w:hyperlink>
                </w:p>
                <w:p w14:paraId="275634E0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0" w:history="1"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UK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launches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Government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Action Plan on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</w:hyperlink>
                </w:p>
                <w:p w14:paraId="31374A7F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1" w:history="1"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2025/13 (24/03/</w:t>
                    </w:r>
                    <w:proofErr w:type="gram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30/03/2025)</w:t>
                    </w:r>
                  </w:hyperlink>
                </w:p>
                <w:p w14:paraId="3131AACD" w14:textId="77777777" w:rsidR="00CA2F90" w:rsidRPr="00CA2F90" w:rsidRDefault="00CA2F90" w:rsidP="00CA2F90">
                  <w:pPr>
                    <w:numPr>
                      <w:ilvl w:val="0"/>
                      <w:numId w:val="25"/>
                    </w:num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 FRUIT &amp; NUTS</w:t>
                  </w:r>
                </w:p>
                <w:p w14:paraId="59724AF2" w14:textId="77777777" w:rsidR="00CA2F90" w:rsidRPr="00CA2F90" w:rsidRDefault="00CA2F90" w:rsidP="00CA2F90">
                  <w:pPr>
                    <w:numPr>
                      <w:ilvl w:val="1"/>
                      <w:numId w:val="25"/>
                    </w:num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2" w:history="1"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Almendrave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importers</w:t>
                    </w:r>
                    <w:proofErr w:type="spellEnd"/>
                    <w:r w:rsidRPr="00CA2F90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trip, April 29th-30th</w:t>
                    </w:r>
                  </w:hyperlink>
                </w:p>
              </w:tc>
            </w:tr>
            <w:tr w:rsidR="00CA2F90" w:rsidRPr="00CA2F90" w14:paraId="08F437D2" w14:textId="77777777">
              <w:trPr>
                <w:trHeight w:val="3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8261B5B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1C0E2AE3" w14:textId="77777777" w:rsidR="00CA2F90" w:rsidRPr="00CA2F90" w:rsidRDefault="00CA2F90" w:rsidP="00CA2F9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CA2F90" w:rsidRPr="00CA2F90" w14:paraId="2AF620DA" w14:textId="77777777" w:rsidTr="00CA2F9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F7E552" w14:textId="77777777" w:rsidR="00CA2F90" w:rsidRDefault="00CA2F90"/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A2F90" w:rsidRPr="00CA2F90" w14:paraId="49AE5895" w14:textId="77777777">
              <w:trPr>
                <w:trHeight w:val="75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0EC70C0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CA2F90" w:rsidRPr="00CA2F90" w14:paraId="5E3B83A3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0891602" w14:textId="77777777" w:rsidR="00CA2F90" w:rsidRPr="00CA2F90" w:rsidRDefault="00CA2F90" w:rsidP="00CA2F90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lastRenderedPageBreak/>
                    <w:t>FRUCOM ACTIVITIES</w:t>
                  </w:r>
                </w:p>
                <w:p w14:paraId="661E284F" w14:textId="77777777" w:rsidR="00CA2F90" w:rsidRPr="00CA2F90" w:rsidRDefault="00CA2F90" w:rsidP="00CA2F9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3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Agenda and Meeting Link: Sustainability working group meeting 2 April, 4:30 PM – 6 PM (Brussels) time</w:t>
                    </w:r>
                  </w:hyperlink>
                </w:p>
                <w:p w14:paraId="65359161" w14:textId="6025439E" w:rsid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 </w:t>
                  </w: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2nd April, 4:30PM – 6PM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time.</w:t>
                  </w:r>
                </w:p>
                <w:p w14:paraId="6B6DFE41" w14:textId="4A4F7483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looking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impact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certification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seafood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</w:p>
                <w:p w14:paraId="75BFE491" w14:textId="531718D8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____________________________________________________________________________</w:t>
                  </w:r>
                </w:p>
                <w:p w14:paraId="5DB090AD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Segoe UI" w:eastAsia="Times New Roman" w:hAnsi="Segoe UI" w:cs="Segoe UI"/>
                      <w:b/>
                      <w:bCs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Microsoft </w:t>
                  </w:r>
                  <w:proofErr w:type="spellStart"/>
                  <w:r w:rsidRPr="00CA2F90">
                    <w:rPr>
                      <w:rFonts w:ascii="Segoe UI" w:eastAsia="Times New Roman" w:hAnsi="Segoe UI" w:cs="Segoe UI"/>
                      <w:b/>
                      <w:bCs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Teams</w:t>
                  </w:r>
                  <w:proofErr w:type="spellEnd"/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"https://aka.ms/JoinTeamsMeeting?omkt=en-US"</w:instrText>
                  </w:r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5B5FC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5B5FC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5B5FC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help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5B5FC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?</w:t>
                  </w:r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59AB1C61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4" w:tgtFrame="_blank" w:tooltip="Meeting join link" w:history="1">
                    <w:proofErr w:type="spellStart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olor w:val="5B5FC7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Join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olor w:val="5B5FC7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olor w:val="5B5FC7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olor w:val="5B5FC7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olor w:val="5B5FC7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olor w:val="5B5FC7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olor w:val="5B5FC7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t>now</w:t>
                    </w:r>
                    <w:proofErr w:type="spellEnd"/>
                  </w:hyperlink>
                </w:p>
                <w:p w14:paraId="146CA5C9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Segoe UI" w:eastAsia="Times New Roman" w:hAnsi="Segoe UI" w:cs="Segoe UI"/>
                      <w:color w:val="616161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 ID: </w:t>
                  </w:r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397 546 874 710</w:t>
                  </w:r>
                </w:p>
                <w:p w14:paraId="2DF5FC73" w14:textId="109FF385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Segoe UI" w:eastAsia="Times New Roman" w:hAnsi="Segoe UI" w:cs="Segoe UI"/>
                      <w:color w:val="616161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Passcode</w:t>
                  </w:r>
                  <w:proofErr w:type="spellEnd"/>
                  <w:r w:rsidRPr="00CA2F90">
                    <w:rPr>
                      <w:rFonts w:ascii="Segoe UI" w:eastAsia="Times New Roman" w:hAnsi="Segoe UI" w:cs="Segoe UI"/>
                      <w:color w:val="616161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r w:rsidRPr="00CA2F90">
                    <w:rPr>
                      <w:rFonts w:ascii="Segoe UI" w:eastAsia="Times New Roman" w:hAnsi="Segoe UI" w:cs="Segoe UI"/>
                      <w:color w:val="242424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kF2qy7g7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50E2946E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"https://frucom.eu/component/attachments/attachments.html?task=attachment&amp;id=2675"</w:instrTex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WG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02.04.2025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62E955C8" w14:textId="77777777" w:rsidR="00CA2F90" w:rsidRDefault="00CA2F90" w:rsidP="00CA2F9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03904B2D" w14:textId="3820F1CF" w:rsidR="00CA2F90" w:rsidRPr="00CA2F90" w:rsidRDefault="00CA2F90" w:rsidP="00CA2F90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5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 actions on EU-US trade</w:t>
                    </w:r>
                  </w:hyperlink>
                </w:p>
                <w:p w14:paraId="51A0B000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FYI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recap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team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activities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issue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C8CC1C0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kindly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feedback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EF19CBE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</w:p>
                <w:p w14:paraId="7617157D" w14:textId="77777777" w:rsidR="00CA2F90" w:rsidRPr="00CA2F90" w:rsidRDefault="00CA2F90" w:rsidP="00CA2F90">
                  <w:pPr>
                    <w:numPr>
                      <w:ilvl w:val="2"/>
                      <w:numId w:val="27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input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</w:p>
                <w:p w14:paraId="6EA04EE6" w14:textId="77777777" w:rsidR="00CA2F90" w:rsidRPr="00CA2F90" w:rsidRDefault="00CA2F90" w:rsidP="00CA2F90">
                  <w:pPr>
                    <w:numPr>
                      <w:ilvl w:val="2"/>
                      <w:numId w:val="28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Bilateral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companies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replying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e.g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transit,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majeure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retaliation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lists</w:t>
                  </w:r>
                  <w:proofErr w:type="spellEnd"/>
                </w:p>
                <w:p w14:paraId="16FFBC60" w14:textId="77777777" w:rsidR="00CA2F90" w:rsidRPr="00CA2F90" w:rsidRDefault="00CA2F90" w:rsidP="00CA2F90">
                  <w:pPr>
                    <w:numPr>
                      <w:ilvl w:val="2"/>
                      <w:numId w:val="29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consultation</w:t>
                  </w:r>
                  <w:proofErr w:type="spellEnd"/>
                </w:p>
                <w:p w14:paraId="6BEA7B39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</w:p>
                <w:p w14:paraId="1D863D6F" w14:textId="77777777" w:rsidR="00CA2F90" w:rsidRPr="00CA2F90" w:rsidRDefault="00CA2F90" w:rsidP="00CA2F90">
                  <w:pPr>
                    <w:numPr>
                      <w:ilvl w:val="2"/>
                      <w:numId w:val="30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Preparatory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TRADE 26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</w:p>
                <w:p w14:paraId="41EF8B63" w14:textId="77777777" w:rsidR="00CA2F90" w:rsidRPr="00CA2F90" w:rsidRDefault="00CA2F90" w:rsidP="00CA2F90">
                  <w:pPr>
                    <w:numPr>
                      <w:ilvl w:val="2"/>
                      <w:numId w:val="31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Setting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AGRI (on 2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vertAlign w:val="superscript"/>
                      <w:lang w:eastAsia="tr-TR"/>
                      <w14:ligatures w14:val="none"/>
                    </w:rPr>
                    <w:t>nd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April)</w:t>
                  </w:r>
                </w:p>
                <w:p w14:paraId="1DC33A6C" w14:textId="77777777" w:rsidR="00CA2F90" w:rsidRPr="00CA2F90" w:rsidRDefault="00CA2F90" w:rsidP="00CA2F90">
                  <w:pPr>
                    <w:numPr>
                      <w:ilvl w:val="2"/>
                      <w:numId w:val="32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cabinets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DG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</w:t>
                  </w:r>
                  <w:proofErr w:type="spellEnd"/>
                </w:p>
                <w:p w14:paraId="65A4F276" w14:textId="77777777" w:rsidR="00CA2F90" w:rsidRPr="00CA2F90" w:rsidRDefault="00CA2F90" w:rsidP="00CA2F90">
                  <w:pPr>
                    <w:numPr>
                      <w:ilvl w:val="2"/>
                      <w:numId w:val="33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Taxud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treatment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processing</w:t>
                  </w:r>
                  <w:proofErr w:type="spellEnd"/>
                </w:p>
                <w:p w14:paraId="03F67FAC" w14:textId="77777777" w:rsidR="00CA2F90" w:rsidRPr="00CA2F90" w:rsidRDefault="00CA2F90" w:rsidP="00CA2F90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</w:p>
                <w:p w14:paraId="228CA50E" w14:textId="77777777" w:rsidR="00CA2F90" w:rsidRPr="00CA2F90" w:rsidRDefault="00CA2F90" w:rsidP="00CA2F90">
                  <w:pPr>
                    <w:numPr>
                      <w:ilvl w:val="2"/>
                      <w:numId w:val="34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key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INTA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</w:p>
                <w:p w14:paraId="08A4CD13" w14:textId="77777777" w:rsidR="00CA2F90" w:rsidRPr="00CA2F90" w:rsidRDefault="00CA2F90" w:rsidP="00CA2F90">
                  <w:pPr>
                    <w:numPr>
                      <w:ilvl w:val="2"/>
                      <w:numId w:val="35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MEP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Germany,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Belgium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Italy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Spain</w:t>
                  </w:r>
                  <w:proofErr w:type="spellEnd"/>
                </w:p>
                <w:p w14:paraId="355C1437" w14:textId="77777777" w:rsidR="00CA2F90" w:rsidRPr="00CA2F90" w:rsidRDefault="00CA2F90" w:rsidP="00CA2F90">
                  <w:pPr>
                    <w:numPr>
                      <w:ilvl w:val="2"/>
                      <w:numId w:val="36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Co-ordination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outreach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</w:p>
                <w:p w14:paraId="2880524E" w14:textId="77777777" w:rsidR="00CA2F90" w:rsidRPr="00CA2F90" w:rsidRDefault="00CA2F90" w:rsidP="00CA2F90">
                  <w:pPr>
                    <w:numPr>
                      <w:ilvl w:val="2"/>
                      <w:numId w:val="37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Bilateral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MEP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Zoido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charge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Spanish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conservative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summary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Spanish market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situation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input</w:t>
                  </w:r>
                  <w:proofErr w:type="spellEnd"/>
                </w:p>
                <w:p w14:paraId="35971EA1" w14:textId="77777777" w:rsidR="00116D7D" w:rsidRDefault="00116D7D" w:rsidP="00CA2F90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5DE24962" w14:textId="1B0BFA89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</w:p>
                <w:p w14:paraId="4D2626A4" w14:textId="77777777" w:rsidR="00CA2F90" w:rsidRPr="00CA2F90" w:rsidRDefault="00CA2F90" w:rsidP="00116D7D">
                  <w:pPr>
                    <w:numPr>
                      <w:ilvl w:val="2"/>
                      <w:numId w:val="38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permanent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representations</w:t>
                  </w:r>
                  <w:proofErr w:type="spellEnd"/>
                </w:p>
                <w:p w14:paraId="4BA54CF3" w14:textId="77777777" w:rsidR="00CA2F90" w:rsidRPr="00CA2F90" w:rsidRDefault="00CA2F90" w:rsidP="00116D7D">
                  <w:pPr>
                    <w:numPr>
                      <w:ilvl w:val="2"/>
                      <w:numId w:val="39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upcoming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Ministers</w:t>
                  </w:r>
                  <w:proofErr w:type="spellEnd"/>
                </w:p>
                <w:p w14:paraId="1F85EB48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Co-ordinating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like-minded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associations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Caobisco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ESA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snacks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BDSI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confectionary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joint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F9FFD4C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parliamentary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8F8C351" w14:textId="77777777" w:rsidR="00116D7D" w:rsidRDefault="00116D7D" w:rsidP="00116D7D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706BA8D" w14:textId="24F79416" w:rsidR="00CA2F90" w:rsidRPr="00CA2F90" w:rsidRDefault="00CA2F90" w:rsidP="00116D7D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6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 – US Tariffs: FRUCOM – DG TRADE call on EU tariffs on US almonds, processed cranberries, peanut butter</w:t>
                    </w:r>
                  </w:hyperlink>
                </w:p>
                <w:p w14:paraId="782F72E9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Germany,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Netherlands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exchange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TRADE’s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coordinator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EU-US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desk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F583D9E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</w:t>
                  </w:r>
                </w:p>
                <w:p w14:paraId="0740C2AC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"https://frucom.eu/component/attachments/attachments.html?task=attachment&amp;id=2674"</w:instrTex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DG TRADE FRUCOM EU-US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25.03.2025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5A790604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FRUCOM’s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EU-US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 April,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AGRI.</w:t>
                  </w:r>
                </w:p>
                <w:p w14:paraId="6FE8B6DE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foreign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affairs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Foreign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Affairs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on 7 April 2025.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US. At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exchange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orientation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future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B70CA50" w14:textId="77777777" w:rsidR="00116D7D" w:rsidRDefault="00116D7D" w:rsidP="00116D7D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FBBB06C" w14:textId="0A69E487" w:rsidR="00CA2F90" w:rsidRPr="00CA2F90" w:rsidRDefault="00CA2F90" w:rsidP="00116D7D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ALL PRODUCTS</w:t>
                  </w:r>
                </w:p>
                <w:p w14:paraId="6E6BF433" w14:textId="77777777" w:rsidR="00CA2F90" w:rsidRPr="00CA2F90" w:rsidRDefault="00CA2F90" w:rsidP="00116D7D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7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EU-US Tariffs Official Journal: EU delays until 14 April 2025 return of 2018 Countermeasure on US peanut butter and processed cranberry products</w:t>
                    </w:r>
                  </w:hyperlink>
                </w:p>
                <w:p w14:paraId="3E8447FB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2025/664 of 31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2023/2882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suspending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commercial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originating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America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2018/886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2020/502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31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</w:t>
                  </w:r>
                </w:p>
                <w:p w14:paraId="73CA40F9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2025/664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2023/2882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312B73AA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(1)in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 ‘31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2025’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replaced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‘14 April 2025’;</w:t>
                  </w:r>
                </w:p>
                <w:p w14:paraId="6B01071D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(2)in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2, ‘31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2025’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replaced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‘14 April 2025’.</w:t>
                  </w:r>
                </w:p>
                <w:p w14:paraId="217AD2E1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FF8D894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25% </w:t>
                  </w:r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ad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valorem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Kidney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beans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(0713 33 90),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butter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(2008 11 10),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Concentrate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2009 81 11; 2009 81 19; 2009 81 31; 2009 81 59),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(20089391).</w:t>
                  </w:r>
                </w:p>
                <w:p w14:paraId="0899939D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28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https://eur-lex.europa.eu/eli/reg_impl/2025/664/oj</w:t>
                    </w:r>
                  </w:hyperlink>
                </w:p>
                <w:p w14:paraId="27CF7CEE" w14:textId="77777777" w:rsidR="00116D7D" w:rsidRDefault="00116D7D" w:rsidP="00116D7D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8AA5D20" w14:textId="510E2C8A" w:rsidR="00CA2F90" w:rsidRPr="00CA2F90" w:rsidRDefault="00CA2F90" w:rsidP="00116D7D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9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Invitation: EU Civil Dialogue Group Meeting on International Aspects of Agriculture, 8 April 2025 from 09:30 to 18:00</w:t>
                    </w:r>
                  </w:hyperlink>
                </w:p>
                <w:p w14:paraId="2AC34B8D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invited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Commission's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Civil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Dialogue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International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Aspects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8 April 2025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9:30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18:00 CET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hybrid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Interactio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136192C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agenda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downloaded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 </w:t>
                  </w:r>
                  <w:hyperlink r:id="rId30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2025-04-08 CDG IAA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Agenda</w:t>
                    </w:r>
                    <w:proofErr w:type="spellEnd"/>
                  </w:hyperlink>
                </w:p>
                <w:p w14:paraId="33706242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Several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physical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served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confirmation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1/04/2025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wish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select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served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(a)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In-person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attendance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1 in-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person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physical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reimbursable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travel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costs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accommodation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daily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(b) Active online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e.g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questions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floor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79765D6F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observers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listening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</w:p>
                <w:p w14:paraId="4CEB54E6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registration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AGM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correspondents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observer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link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listening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21E1EA8" w14:textId="77777777" w:rsidR="00116D7D" w:rsidRDefault="00116D7D" w:rsidP="00116D7D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EB999C2" w14:textId="5DF88549" w:rsidR="00CA2F90" w:rsidRPr="00CA2F90" w:rsidRDefault="00CA2F90" w:rsidP="00116D7D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1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DG TRADE Civil Society Dialogue meeting on Southeast Asia</w:t>
                    </w:r>
                  </w:hyperlink>
                </w:p>
                <w:p w14:paraId="414C99E4" w14:textId="77777777" w:rsidR="00CA2F90" w:rsidRPr="00CA2F90" w:rsidRDefault="00CA2F90" w:rsidP="00116D7D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Civil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Society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Dialogue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Southeast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20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</w:t>
                  </w:r>
                </w:p>
                <w:p w14:paraId="32B8A7AE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Christophe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Kiener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South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Southeast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Australia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New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Zealand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Directorate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-General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updates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ongoing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Southeast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Asian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He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joined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Deputy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Team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leader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Southeast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1058E9B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Indonesia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trying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bridge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different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far 19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several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exchanges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already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D3CCCB0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Thailand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has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strong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determination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advance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swiftly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4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relatively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early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yet on market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access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liberalisation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 5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vertAlign w:val="superscript"/>
                      <w:lang w:eastAsia="tr-TR"/>
                      <w14:ligatures w14:val="none"/>
                    </w:rPr>
                    <w:t>th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31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 April, in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couple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months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kick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-start market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access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Impact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2025.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Thailand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very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FTA,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opportunity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08569DC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Philippines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resumed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2024,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two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far,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constructive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converging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between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two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93AE262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Malaysia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January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beginning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April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chief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negotiators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how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things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ideally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hoping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before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30B8BB1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Vietnam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travel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Vietnam in April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35th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anniversary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EU-Vietnam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diplomatic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signing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Vietnam.</w:t>
                  </w:r>
                </w:p>
                <w:p w14:paraId="4E1CA093" w14:textId="77777777" w:rsidR="00727691" w:rsidRDefault="00727691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0AC02E43" w14:textId="66044D76" w:rsidR="00CA2F90" w:rsidRPr="00CA2F90" w:rsidRDefault="00CA2F90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2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Alternaria </w:t>
                    </w:r>
                    <w:proofErr w:type="gramStart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discussion -</w:t>
                    </w:r>
                    <w:proofErr w:type="gramEnd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Data analysis meeting overview/New data call until May 9th</w:t>
                    </w:r>
                  </w:hyperlink>
                </w:p>
                <w:p w14:paraId="09BB6489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addressed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"https://frucom.eu/circulars/5254:contaminants-frucom-alternaria-results-meeting-scheduled.html"</w:instrTex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previous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circular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on 25th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</w:p>
                <w:p w14:paraId="750C84FA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second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May 9,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Brussels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time)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C566746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template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33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ksaari@frucom.eu</w:t>
                    </w:r>
                  </w:hyperlink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34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jpereira@frucom.eu</w:t>
                    </w:r>
                  </w:hyperlink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9C4DD65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template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attachments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06E3400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Main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0ECDA258" w14:textId="77777777" w:rsidR="00CA2F90" w:rsidRPr="00CA2F90" w:rsidRDefault="00CA2F90" w:rsidP="00727691">
                  <w:pPr>
                    <w:numPr>
                      <w:ilvl w:val="2"/>
                      <w:numId w:val="40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Hazelnuts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Sesame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Figs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exceedances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1D9C23E" w14:textId="77777777" w:rsidR="00CA2F90" w:rsidRPr="00CA2F90" w:rsidRDefault="00CA2F90" w:rsidP="00727691">
                  <w:pPr>
                    <w:numPr>
                      <w:ilvl w:val="2"/>
                      <w:numId w:val="41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collection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9FD87D0" w14:textId="77777777" w:rsidR="00CA2F90" w:rsidRPr="00CA2F90" w:rsidRDefault="00CA2F90" w:rsidP="00727691">
                  <w:pPr>
                    <w:numPr>
                      <w:ilvl w:val="2"/>
                      <w:numId w:val="42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input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understand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communicate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effectively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authorities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E4FEE63" w14:textId="77777777" w:rsidR="00CA2F90" w:rsidRPr="00CA2F90" w:rsidRDefault="00CA2F90" w:rsidP="00727691">
                  <w:pPr>
                    <w:numPr>
                      <w:ilvl w:val="2"/>
                      <w:numId w:val="43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Divergence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practical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Netherlands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example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/RASFF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B7922CE" w14:textId="77777777" w:rsidR="00CA2F90" w:rsidRPr="00CA2F90" w:rsidRDefault="00CA2F90" w:rsidP="00727691">
                  <w:pPr>
                    <w:numPr>
                      <w:ilvl w:val="2"/>
                      <w:numId w:val="44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Tomato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creates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issues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implementation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different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percentage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dried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mass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13926AF" w14:textId="77777777" w:rsidR="00CA2F90" w:rsidRPr="00CA2F90" w:rsidRDefault="00CA2F90" w:rsidP="00727691">
                  <w:pPr>
                    <w:numPr>
                      <w:ilvl w:val="2"/>
                      <w:numId w:val="45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sectorial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sources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88DC5FE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steps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41F16084" w14:textId="77777777" w:rsidR="00CA2F90" w:rsidRPr="00CA2F90" w:rsidRDefault="00CA2F90" w:rsidP="00727691">
                  <w:pPr>
                    <w:numPr>
                      <w:ilvl w:val="2"/>
                      <w:numId w:val="46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410729E" w14:textId="77777777" w:rsidR="00CA2F90" w:rsidRPr="00CA2F90" w:rsidRDefault="00CA2F90" w:rsidP="00727691">
                  <w:pPr>
                    <w:numPr>
                      <w:ilvl w:val="2"/>
                      <w:numId w:val="47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Open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second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60A04A4" w14:textId="77777777" w:rsidR="00CA2F90" w:rsidRPr="00CA2F90" w:rsidRDefault="00CA2F90" w:rsidP="00727691">
                  <w:pPr>
                    <w:numPr>
                      <w:ilvl w:val="2"/>
                      <w:numId w:val="48"/>
                    </w:numPr>
                    <w:tabs>
                      <w:tab w:val="clear" w:pos="2160"/>
                      <w:tab w:val="num" w:pos="1843"/>
                    </w:tabs>
                    <w:spacing w:after="120" w:line="240" w:lineRule="auto"/>
                    <w:ind w:left="567" w:hanging="283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Prepare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paper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9610157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Presentation: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"https://frucom.eu/component/attachments/attachments.html?task=attachment&amp;id=2670"</w:instrTex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00A28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Alternaria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A28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A28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A287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2025 PPP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097D2074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collection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template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"https://frucom.eu/component/attachments/attachments.html?task=attachment&amp;id=2671"</w:instrTex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Contaminant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template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633C3791" w14:textId="77777777" w:rsidR="00727691" w:rsidRDefault="00727691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15BB112" w14:textId="40AA6046" w:rsidR="00CA2F90" w:rsidRPr="00CA2F90" w:rsidRDefault="00CA2F90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5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 Council agrees to delay some sustainability reporting and due diligence requirements (Omnibus proposal)</w:t>
                    </w:r>
                  </w:hyperlink>
                </w:p>
                <w:p w14:paraId="55A4C73F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26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representatives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Coreper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Council’s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(‘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mandate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’)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Commission’s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simplify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rules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Omnibus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reform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simplify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diligence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businesses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D7C8F35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so-called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‘Stop-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clock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postpones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transposition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Omnibus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E8EBD7F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Council’s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mandate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‘Stop-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clock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Coreper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26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presidency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enabled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interinstitutional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negotiations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reaching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scheduled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1 April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urgent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508716C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</w:p>
                <w:p w14:paraId="0FF43698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President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Roberta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Metsola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had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announced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20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urgency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‘Stop-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clock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’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two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CSRD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CSDDD,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rapporteurs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appointed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start in April.</w:t>
                  </w:r>
                </w:p>
                <w:p w14:paraId="26DF3073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31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 April,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Parlaiment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urgent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170)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Directives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2022/2464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2024/1760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corporate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diligence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B526D57" w14:textId="77777777" w:rsidR="00CA2F90" w:rsidRPr="00CA2F90" w:rsidRDefault="00CA2F90" w:rsidP="00727691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6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https://www.consilium.europa.eu/en/press/press-releases/2025/03/26/simplification-council-agrees-position-on-the-stop-the-clock-mechanism-to-enhance-eu-competitiveness/</w:t>
                    </w:r>
                  </w:hyperlink>
                </w:p>
                <w:p w14:paraId="037E8A9E" w14:textId="77777777" w:rsidR="00727691" w:rsidRDefault="00727691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C09175B" w14:textId="182CA339" w:rsidR="00CA2F90" w:rsidRPr="00CA2F90" w:rsidRDefault="00CA2F90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7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EU Launches a Sanctions Helpdesk to help SMEs comply with EU sanctions regime</w:t>
                    </w:r>
                  </w:hyperlink>
                </w:p>
                <w:p w14:paraId="73D1C5FD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25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launched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Sanctions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Helpdesk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medium-sized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enterprises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sanctions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compliance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Helpdesk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range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services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designed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help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sanctions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worldwide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1A56322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Helpdesk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manage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"https://eu-sanctions-compliance-helpdesk.europa.eu/index_en"</w:instrTex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dedicated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website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featuring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sanctions-related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country-specific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tips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lessons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learned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0D902AA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over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sanctions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regimes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globally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range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individual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e.g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freezes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comprehensive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sectoral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energy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.).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increasing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worldwide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tensions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expanding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rapid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0482281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training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27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 (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15:00 -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16:15),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covering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"https://eu-sanctions-compliance-helpdesk.europa.eu/events/introducing-eu-sanctions-helpdesk-supporting-eu-smes-sanctions-compliance-2025-03-27_en"</w:instrTex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Introducing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Sanctions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Helpdesk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Supporting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SMEs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Sanctions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Compliance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A60742C" w14:textId="77777777" w:rsidR="00CA2F90" w:rsidRPr="00CA2F90" w:rsidRDefault="00CA2F90" w:rsidP="00727691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8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https://eu-sanctions-compliance-helpdesk.europa.eu/index_en</w:t>
                    </w:r>
                  </w:hyperlink>
                </w:p>
                <w:p w14:paraId="7C5D8E81" w14:textId="77777777" w:rsidR="00727691" w:rsidRDefault="00727691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AE06EED" w14:textId="77777777" w:rsidR="00E43F37" w:rsidRPr="00727691" w:rsidRDefault="00E43F37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0B7B702A" w14:textId="289878C3" w:rsidR="00CA2F90" w:rsidRPr="00CA2F90" w:rsidRDefault="00CA2F90" w:rsidP="00727691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9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new MRLs for Cycloxydim, Flupyradifurone and Phosphonic acid</w:t>
                    </w:r>
                  </w:hyperlink>
                </w:p>
                <w:p w14:paraId="198AAF8F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2025/581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IV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cycloxydim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dichlorprop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-P,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flupyradifurone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methyl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nonyl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ketone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citronella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sorbate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cycloxydim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modification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apricots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peaches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pursuant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6(1)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enough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flupyradifurone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Codex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CXLs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CXLs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flupyradifurone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pineapple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sunflower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scientific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factors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14(2)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396/2005.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poppy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sufficient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long-term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resulting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unlikely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risk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consumer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87DD28B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New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(mg/kg):</w:t>
                  </w:r>
                </w:p>
                <w:p w14:paraId="0E031749" w14:textId="77777777" w:rsidR="00CA2F90" w:rsidRPr="00CA2F90" w:rsidRDefault="00CA2F90" w:rsidP="00E43F3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Cycloxydim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0.4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9</w:t>
                  </w:r>
                </w:p>
                <w:p w14:paraId="27A0F781" w14:textId="77777777" w:rsidR="00CA2F90" w:rsidRPr="00CA2F90" w:rsidRDefault="00CA2F90" w:rsidP="00E43F3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Flupyradifurone</w:t>
                  </w:r>
                  <w:proofErr w:type="spellEnd"/>
                </w:p>
                <w:p w14:paraId="6543DB3D" w14:textId="77777777" w:rsidR="00CA2F90" w:rsidRPr="00CA2F90" w:rsidRDefault="00CA2F90" w:rsidP="00E43F3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Pineapples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0.3 (toka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vika</w:t>
                  </w:r>
                  <w:proofErr w:type="spellEnd"/>
                </w:p>
                <w:p w14:paraId="773EA905" w14:textId="77777777" w:rsidR="00CA2F90" w:rsidRPr="00CA2F90" w:rsidRDefault="00CA2F90" w:rsidP="00E43F3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Sunflower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0.8</w:t>
                  </w:r>
                </w:p>
                <w:p w14:paraId="39E71A4E" w14:textId="77777777" w:rsidR="00CA2F90" w:rsidRPr="00CA2F90" w:rsidRDefault="00CA2F90" w:rsidP="00E43F3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Phosphonic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salts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expressed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phosphonic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(R)</w:t>
                  </w:r>
                </w:p>
                <w:p w14:paraId="71E8F4FB" w14:textId="77777777" w:rsidR="00CA2F90" w:rsidRPr="00CA2F90" w:rsidRDefault="00CA2F90" w:rsidP="00E43F3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Poppy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200</w:t>
                  </w:r>
                </w:p>
                <w:p w14:paraId="110B2870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detected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41B0FD9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twentieth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28.03.2025).</w:t>
                  </w:r>
                </w:p>
                <w:p w14:paraId="4D3BFCC1" w14:textId="77777777" w:rsidR="00CA2F90" w:rsidRPr="00CA2F90" w:rsidRDefault="00CA2F90" w:rsidP="00E43F3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40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https://eur-lex.europa.eu/legal-content/EN/TXT/?uri=OJ:L_202500581</w:t>
                    </w:r>
                  </w:hyperlink>
                </w:p>
                <w:p w14:paraId="088CA1D8" w14:textId="77777777" w:rsidR="00E43F37" w:rsidRDefault="00E43F37" w:rsidP="00E43F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F19BFCC" w14:textId="5A8A5931" w:rsidR="00CA2F90" w:rsidRPr="00CA2F90" w:rsidRDefault="00CA2F90" w:rsidP="00E43F3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1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voting results of the February 2025 standing committee</w:t>
                    </w:r>
                  </w:hyperlink>
                </w:p>
                <w:p w14:paraId="39DFAC55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minutes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Animals, Food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Phytopharmaceuticals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 on 17-18 February.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Link: </w:t>
                  </w:r>
                  <w:hyperlink r:id="rId42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https://food.ec.europa.eu/document/download/0d2941fe-29e0-4f9d-a72b-5190ed8f1220_en?filename=sc_phyto_20250217_ppr_sum.pdf</w:t>
                    </w:r>
                  </w:hyperlink>
                </w:p>
                <w:p w14:paraId="54E30DB2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Information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</w:p>
                <w:p w14:paraId="2591572F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A.03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53CA60AB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 xml:space="preserve">1.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Glufosinate</w:t>
                  </w:r>
                  <w:proofErr w:type="spellEnd"/>
                </w:p>
                <w:p w14:paraId="15EB5B9D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sent a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mandate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conduct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toxicological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updated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glufosinate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deadline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15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2026</w:t>
                  </w:r>
                </w:p>
                <w:p w14:paraId="01264133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5.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Thiacloprid</w:t>
                  </w:r>
                  <w:proofErr w:type="spellEnd"/>
                </w:p>
                <w:p w14:paraId="339FE69E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mandate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evaluate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endocrine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disrupting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properties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85F11DF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23D4828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A.12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Forthcoming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):</w:t>
                  </w:r>
                </w:p>
                <w:p w14:paraId="5405E1D6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1.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Cypermethrins</w:t>
                  </w:r>
                  <w:proofErr w:type="spellEnd"/>
                </w:p>
                <w:p w14:paraId="00B5B2E3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tput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alpha-cypermethrin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cypermethrins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isomers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23-24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</w:t>
                  </w:r>
                </w:p>
                <w:p w14:paraId="559C6C0E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2.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Dithiocarbamates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isopyrazam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myclobutanil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phenthoate</w:t>
                  </w:r>
                  <w:proofErr w:type="spellEnd"/>
                </w:p>
                <w:p w14:paraId="6CEA3AC3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temporarily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put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hold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awaiting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forward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reference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laboratories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updated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progress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analytical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discriminate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different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dithiocarbamates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0DD42CC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35884F7" w14:textId="77777777" w:rsidR="00CA2F90" w:rsidRPr="00CA2F90" w:rsidRDefault="00CA2F90" w:rsidP="00E43F3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(s)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</w:p>
                <w:p w14:paraId="25F1F77C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B.01 Exchange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…/…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II, III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IV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amidosulfuron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azoxystrobin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hexythiazox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isoxaben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picloram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propamocarb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sodium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silver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thiosulfate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tefluthrin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</w:p>
                <w:p w14:paraId="4EB01E59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exception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sodium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silver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thiosulfate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5890F0D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Favourable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61353F2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B.02 Exchange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…/…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II, III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V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chlorpropham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fuberidazole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ipconazole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methoxyfenozide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, S-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metolachlor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triflusulfuron</w:t>
                  </w:r>
                  <w:proofErr w:type="spellEnd"/>
                </w:p>
                <w:p w14:paraId="2E8825CF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exception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ipconazole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81F4733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Favourable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opinion.</w:t>
                  </w:r>
                </w:p>
                <w:p w14:paraId="22FB3091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B.03 Exchange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…/…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cyantraniliprole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cyflumetofen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deltamethrin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mefentrifluconazole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mepiquat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oxathiapiprolin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</w:p>
                <w:p w14:paraId="1982F7A1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exception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mefentrifluconazole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oxathiapiprolin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062A3DE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Favourable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3356751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B.04 Exchange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Committee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…/…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acetamiprid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</w:p>
                <w:p w14:paraId="62C98F4D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Acetamiprid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detected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98B66FE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Favourable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1C3B277" w14:textId="77777777" w:rsidR="00EB6DE9" w:rsidRDefault="00EB6DE9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3EC9E91" w14:textId="55EBCA7B" w:rsidR="00CA2F90" w:rsidRPr="00CA2F90" w:rsidRDefault="00CA2F90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3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Notes – Meeting of the Agri-Food Chain Sustainability Roundtable 24th March</w:t>
                    </w:r>
                  </w:hyperlink>
                </w:p>
                <w:p w14:paraId="578C1976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latest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-Food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Roundtable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took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hybrid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24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here.</w:t>
                  </w:r>
                </w:p>
                <w:p w14:paraId="34B99637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4" w:history="1"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Notes_Meeting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Agri-food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chain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sustainability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roundtable_24032025</w:t>
                    </w:r>
                  </w:hyperlink>
                </w:p>
                <w:p w14:paraId="003402B6" w14:textId="77777777" w:rsidR="00EB6DE9" w:rsidRDefault="00EB6DE9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489A3EB" w14:textId="5BA2661B" w:rsidR="00CA2F90" w:rsidRPr="00CA2F90" w:rsidRDefault="00CA2F90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5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Packaging and Packaging Waste Regulation: Draft industry letter on Annex V Point 4 prohibiting single use plastic portion packaging in HORECA</w:t>
                    </w:r>
                  </w:hyperlink>
                </w:p>
                <w:p w14:paraId="0F6263DD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invited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feedback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Flexible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Europe (FPE),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V Point 4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,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prohibiting</w:t>
                  </w:r>
                  <w:proofErr w:type="spellEnd"/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single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plastic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portion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HORECA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C9DC191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6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2024-03-21_Joint Industry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Letter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Annex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V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point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4_DRAFT</w:t>
                    </w:r>
                  </w:hyperlink>
                </w:p>
                <w:p w14:paraId="5B17BEED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principles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39046F7A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Industry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legal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clarity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asap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plan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investments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appropriately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look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feasible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alternatives</w:t>
                  </w:r>
                  <w:proofErr w:type="spellEnd"/>
                </w:p>
                <w:p w14:paraId="7A356BF1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guidelines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earlier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12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February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2027,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ideally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</w:t>
                  </w:r>
                  <w:proofErr w:type="spellEnd"/>
                </w:p>
                <w:p w14:paraId="6E7AE779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·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specifically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two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points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would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explicit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clarity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PPWR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guidelines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7C0EEE96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proofErr w:type="gram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definition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“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single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plastic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”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do not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ask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clarity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</w:p>
                <w:p w14:paraId="63E3E468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proofErr w:type="gram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scope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“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preserves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sauces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coffee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creamer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sugar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seasoning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”</w:t>
                  </w:r>
                </w:p>
                <w:p w14:paraId="38BE439F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sentence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yellow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left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empty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practical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examples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investment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adapt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examples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5A38C3B" w14:textId="77777777" w:rsidR="00EB6DE9" w:rsidRDefault="00EB6DE9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</w:pPr>
                </w:p>
                <w:p w14:paraId="7634FC6E" w14:textId="6658BEFB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kindly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requested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share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feedback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2 April COB</w:t>
                  </w:r>
                </w:p>
                <w:p w14:paraId="3FF703A2" w14:textId="77777777" w:rsidR="00EB6DE9" w:rsidRDefault="00EB6DE9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6C5C5C8" w14:textId="1E47B4FD" w:rsidR="00CA2F90" w:rsidRPr="00CA2F90" w:rsidRDefault="00CA2F90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47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Submission Consultation on EU-US Steel </w:t>
                    </w:r>
                    <w:proofErr w:type="gramStart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Aluminium -</w:t>
                    </w:r>
                    <w:proofErr w:type="gramEnd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almonds, cranberries, and other products</w:t>
                    </w:r>
                  </w:hyperlink>
                </w:p>
                <w:p w14:paraId="2C415C61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access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/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response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Commission’s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gathering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9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No 654/2014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steel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aluminium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281BD18" w14:textId="77777777" w:rsidR="00CA2F90" w:rsidRPr="00CA2F90" w:rsidRDefault="00CA2F90" w:rsidP="00EB6DE9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48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Submission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2025 EU-US Steel </w:t>
                    </w:r>
                    <w:proofErr w:type="spellStart"/>
                    <w:proofErr w:type="gram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Aluminium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-</w:t>
                    </w:r>
                    <w:proofErr w:type="gram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almonds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cranberries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other</w:t>
                    </w:r>
                    <w:proofErr w:type="spellEnd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</w:hyperlink>
                  <w:hyperlink r:id="rId49" w:history="1">
                    <w:r w:rsidRPr="00CA2F90">
                      <w:rPr>
                        <w:rFonts w:ascii="Arial" w:eastAsia="Times New Roman" w:hAnsi="Arial" w:cs="Arial"/>
                        <w:color w:val="2D2D38"/>
                        <w:kern w:val="0"/>
                        <w:sz w:val="24"/>
                        <w:szCs w:val="24"/>
                        <w:bdr w:val="none" w:sz="0" w:space="0" w:color="auto" w:frame="1"/>
                        <w:lang w:eastAsia="tr-TR"/>
                        <w14:ligatures w14:val="none"/>
                      </w:rPr>
                      <w:br/>
                    </w:r>
                  </w:hyperlink>
                </w:p>
                <w:p w14:paraId="264022FA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encouraged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whole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engagement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Permanent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Representatives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ministries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dealing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reinforce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remove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countermeasures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EU.</w:t>
                  </w:r>
                </w:p>
                <w:p w14:paraId="4EE82353" w14:textId="77777777" w:rsidR="00EB6DE9" w:rsidRDefault="00EB6DE9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26EB654" w14:textId="025340C3" w:rsidR="00CA2F90" w:rsidRPr="00CA2F90" w:rsidRDefault="00CA2F90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0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EFSA conclusion on MRL for deltamethrin in cherries</w:t>
                    </w:r>
                  </w:hyperlink>
                </w:p>
                <w:p w14:paraId="5C558177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odification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deltamethrin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cherries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Bayer SAS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competent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authority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France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modify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deltamethrin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cherries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submitted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sufficient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MRL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cherries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754A0F9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results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short</w:t>
                  </w:r>
                  <w:r w:rsidRPr="00CA2F90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long</w:t>
                  </w:r>
                  <w:r w:rsidRPr="00CA2F90">
                    <w:rPr>
                      <w:rFonts w:ascii="Cambria Math" w:eastAsia="Times New Roman" w:hAnsi="Cambria Math" w:cs="Cambria Math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resulting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deltamethrin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practices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unlikely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risk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consumer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4B05C21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(mg/kg): 0.15 (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0.1)</w:t>
                  </w:r>
                </w:p>
                <w:p w14:paraId="5CCB3880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do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EFSA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conclusion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B437085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Deltamethri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detected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cherries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5409F57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51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https://efsa.onlinelibrary.wiley.com/doi/epdf/10.2903/j.efsa.2025.9314</w:t>
                    </w:r>
                  </w:hyperlink>
                </w:p>
                <w:p w14:paraId="27449999" w14:textId="77777777" w:rsidR="00EB6DE9" w:rsidRDefault="00EB6DE9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5E080D7" w14:textId="3AA0009F" w:rsidR="00CA2F90" w:rsidRPr="00CA2F90" w:rsidRDefault="00CA2F90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2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UK launches Government Action Plan on Pesticides</w:t>
                    </w:r>
                  </w:hyperlink>
                </w:p>
                <w:p w14:paraId="30BB825C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government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UK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Action Plan (NAP),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ban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neonicotinoid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England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2484DD7D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Action Plan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10%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until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2030. This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aims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harm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rather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volume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progress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monitored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Load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Indicator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NAP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promote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Integrated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Management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strategies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reliance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chemical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831C4A0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at: </w:t>
                  </w:r>
                  <w:hyperlink r:id="rId53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https://www.gov.uk/government/news/nature-boost-government-launches-first-action-plan-on-pesticides-in-a-decade</w:t>
                    </w:r>
                  </w:hyperlink>
                </w:p>
                <w:p w14:paraId="71CB9691" w14:textId="77777777" w:rsidR="00EB6DE9" w:rsidRDefault="00EB6DE9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2E9A45F0" w14:textId="77777777" w:rsidR="00EB6DE9" w:rsidRDefault="00EB6DE9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65BFD684" w14:textId="2A5C3642" w:rsidR="00CA2F90" w:rsidRPr="00CA2F90" w:rsidRDefault="00CA2F90" w:rsidP="00EB6DE9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4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RASFF NOTIFICATION: 2025/13 (24/03/</w:t>
                    </w:r>
                    <w:proofErr w:type="gramStart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2025 -</w:t>
                    </w:r>
                    <w:proofErr w:type="gramEnd"/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30/03/2025)</w:t>
                    </w:r>
                  </w:hyperlink>
                </w:p>
                <w:p w14:paraId="0B956D82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FRUCOM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compiling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RASFF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week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2025/13 (24/03/</w:t>
                  </w:r>
                  <w:proofErr w:type="gram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2025 -</w:t>
                  </w:r>
                  <w:proofErr w:type="gram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30/03/2025).</w:t>
                  </w:r>
                </w:p>
                <w:p w14:paraId="7E96C8BF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Information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report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RASFF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notifications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DG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SANTE’s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online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database</w:t>
                  </w:r>
                  <w:proofErr w:type="spellEnd"/>
                </w:p>
                <w:p w14:paraId="79A05440" w14:textId="77777777" w:rsidR="00CA2F90" w:rsidRPr="00CA2F90" w:rsidRDefault="00CA2F90" w:rsidP="00EB6DE9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5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FRUCOMRASFF20</w:t>
                    </w:r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25_Week13</w:t>
                    </w:r>
                  </w:hyperlink>
                </w:p>
                <w:p w14:paraId="16CD07AD" w14:textId="77777777" w:rsidR="00CA2F90" w:rsidRPr="00CA2F90" w:rsidRDefault="00CA2F90" w:rsidP="00CA2F90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31156BB0" w14:textId="77777777" w:rsidR="00CA2F90" w:rsidRPr="00CA2F90" w:rsidRDefault="00CA2F90" w:rsidP="006E7672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DRIED FRUIT &amp; NUTS</w:t>
                  </w:r>
                </w:p>
                <w:p w14:paraId="1DD1193A" w14:textId="77777777" w:rsidR="00CA2F90" w:rsidRPr="00CA2F90" w:rsidRDefault="00CA2F90" w:rsidP="006E7672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6" w:history="1">
                    <w:r w:rsidRPr="00CA2F90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Almendrave importers trip, April 29th-30th</w:t>
                    </w:r>
                  </w:hyperlink>
                </w:p>
                <w:p w14:paraId="79C19B30" w14:textId="77777777" w:rsidR="00CA2F90" w:rsidRPr="00CA2F90" w:rsidRDefault="00CA2F90" w:rsidP="006E767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April 29th-30th,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Almendrave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trip,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Alicante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Comunidad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Valenciana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36B6778" w14:textId="77777777" w:rsidR="00CA2F90" w:rsidRPr="00CA2F90" w:rsidRDefault="00CA2F90" w:rsidP="006E767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a two-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immersive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mission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focusing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model,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technological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advancements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sector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processing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industry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highlight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value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locally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Spain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foster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commercial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relationships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between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A6D10C8" w14:textId="77777777" w:rsidR="00CA2F90" w:rsidRPr="00CA2F90" w:rsidRDefault="00CA2F90" w:rsidP="006E767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initiative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project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emphasize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importance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produced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within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borders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  <w:r w:rsidRPr="00CA2F90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br/>
                  </w:r>
                </w:p>
                <w:p w14:paraId="6529863F" w14:textId="77777777" w:rsidR="00CA2F90" w:rsidRPr="00CA2F90" w:rsidRDefault="00CA2F90" w:rsidP="006E767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wish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participate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57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almendrave@almendrave.com</w:t>
                    </w:r>
                  </w:hyperlink>
                </w:p>
                <w:p w14:paraId="05100491" w14:textId="77777777" w:rsidR="00CA2F90" w:rsidRPr="00CA2F90" w:rsidRDefault="00CA2F90" w:rsidP="006E7672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event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dossier</w:t>
                  </w:r>
                  <w:proofErr w:type="spellEnd"/>
                  <w:r w:rsidRPr="00CA2F90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58" w:history="1">
                    <w:r w:rsidRPr="00CA2F90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DOSSIER WORKSHOPS SUSTAINABLE EU ALMOND SPAIN</w:t>
                    </w:r>
                  </w:hyperlink>
                </w:p>
                <w:p w14:paraId="528BF4CF" w14:textId="79BC71D1" w:rsidR="00CA2F90" w:rsidRPr="00CA2F90" w:rsidRDefault="00CA2F90" w:rsidP="00CA2F90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2C35E746" w14:textId="77777777" w:rsidR="00CA2F90" w:rsidRPr="00CA2F90" w:rsidRDefault="00CA2F90" w:rsidP="00CA2F9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DF54CA5" w14:textId="77777777" w:rsidR="00127B77" w:rsidRPr="00CA2F90" w:rsidRDefault="00127B77" w:rsidP="00CA2F90">
      <w:pPr>
        <w:spacing w:after="120" w:line="240" w:lineRule="auto"/>
        <w:jc w:val="both"/>
        <w:rPr>
          <w:sz w:val="24"/>
          <w:szCs w:val="24"/>
        </w:rPr>
      </w:pPr>
    </w:p>
    <w:sectPr w:rsidR="00127B77" w:rsidRPr="00CA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6C73"/>
    <w:multiLevelType w:val="multilevel"/>
    <w:tmpl w:val="9FDC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A2DEB"/>
    <w:multiLevelType w:val="multilevel"/>
    <w:tmpl w:val="A35E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90933"/>
    <w:multiLevelType w:val="multilevel"/>
    <w:tmpl w:val="372C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C1DF8"/>
    <w:multiLevelType w:val="multilevel"/>
    <w:tmpl w:val="E1CA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327739">
    <w:abstractNumId w:val="2"/>
  </w:num>
  <w:num w:numId="2" w16cid:durableId="1774282222">
    <w:abstractNumId w:val="3"/>
  </w:num>
  <w:num w:numId="3" w16cid:durableId="1617786128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 w16cid:durableId="775831663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58615839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7143791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203465147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051424494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919436174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0" w16cid:durableId="136409602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 w16cid:durableId="119492535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2" w16cid:durableId="1704788701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2109110577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714894335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1859005581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 w16cid:durableId="857894827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531957880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2013486851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601909871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0" w16cid:durableId="1124426475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1" w16cid:durableId="152524899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 w16cid:durableId="863909346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 w16cid:durableId="978799908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 w16cid:durableId="498037448">
    <w:abstractNumId w:val="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5" w16cid:durableId="684675450">
    <w:abstractNumId w:val="0"/>
  </w:num>
  <w:num w:numId="26" w16cid:durableId="614335323">
    <w:abstractNumId w:val="1"/>
  </w:num>
  <w:num w:numId="27" w16cid:durableId="815682711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 w16cid:durableId="1860005685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9" w16cid:durableId="1428884532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 w16cid:durableId="1391924581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2135100683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2" w16cid:durableId="1924948847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 w16cid:durableId="223681184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4" w16cid:durableId="1384215190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5" w16cid:durableId="1929389431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6" w16cid:durableId="1447387412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7" w16cid:durableId="406198308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8" w16cid:durableId="1310475511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9" w16cid:durableId="919220746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0" w16cid:durableId="711535351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1" w16cid:durableId="1969892423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2" w16cid:durableId="2121682906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3" w16cid:durableId="498235282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4" w16cid:durableId="1325737372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5" w16cid:durableId="939415955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6" w16cid:durableId="2038776270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7" w16cid:durableId="1163861913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8" w16cid:durableId="2060546528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2"/>
    <w:rsid w:val="0001538D"/>
    <w:rsid w:val="000D39E6"/>
    <w:rsid w:val="000E2EE4"/>
    <w:rsid w:val="000E57B9"/>
    <w:rsid w:val="00106D46"/>
    <w:rsid w:val="00116D7D"/>
    <w:rsid w:val="00122420"/>
    <w:rsid w:val="00127B77"/>
    <w:rsid w:val="00131D07"/>
    <w:rsid w:val="00185F3F"/>
    <w:rsid w:val="00192520"/>
    <w:rsid w:val="001C4D28"/>
    <w:rsid w:val="001C54E5"/>
    <w:rsid w:val="001D2098"/>
    <w:rsid w:val="001E31E6"/>
    <w:rsid w:val="00233D2D"/>
    <w:rsid w:val="00254D41"/>
    <w:rsid w:val="00275EDD"/>
    <w:rsid w:val="0028480F"/>
    <w:rsid w:val="00294A35"/>
    <w:rsid w:val="002B4238"/>
    <w:rsid w:val="002C79CD"/>
    <w:rsid w:val="003644B1"/>
    <w:rsid w:val="00376CB0"/>
    <w:rsid w:val="003879E5"/>
    <w:rsid w:val="003A6B2F"/>
    <w:rsid w:val="003B550D"/>
    <w:rsid w:val="00433DD7"/>
    <w:rsid w:val="004B4026"/>
    <w:rsid w:val="004C6816"/>
    <w:rsid w:val="004E0B97"/>
    <w:rsid w:val="004E2CB6"/>
    <w:rsid w:val="00500B03"/>
    <w:rsid w:val="00501CFE"/>
    <w:rsid w:val="00556075"/>
    <w:rsid w:val="00563B5B"/>
    <w:rsid w:val="005C5DF0"/>
    <w:rsid w:val="005D644F"/>
    <w:rsid w:val="00601DBD"/>
    <w:rsid w:val="006E7672"/>
    <w:rsid w:val="006F628B"/>
    <w:rsid w:val="00713DC0"/>
    <w:rsid w:val="00717AF8"/>
    <w:rsid w:val="00727691"/>
    <w:rsid w:val="00757BFD"/>
    <w:rsid w:val="00780290"/>
    <w:rsid w:val="00780D8C"/>
    <w:rsid w:val="007A4E2A"/>
    <w:rsid w:val="007D3768"/>
    <w:rsid w:val="007D7670"/>
    <w:rsid w:val="00800822"/>
    <w:rsid w:val="00813BB1"/>
    <w:rsid w:val="008161CF"/>
    <w:rsid w:val="00822D62"/>
    <w:rsid w:val="00861B8C"/>
    <w:rsid w:val="008800BE"/>
    <w:rsid w:val="00885EA8"/>
    <w:rsid w:val="00893CB9"/>
    <w:rsid w:val="00897A36"/>
    <w:rsid w:val="008B6985"/>
    <w:rsid w:val="008C1C5F"/>
    <w:rsid w:val="008D4FD2"/>
    <w:rsid w:val="008E3389"/>
    <w:rsid w:val="008F101B"/>
    <w:rsid w:val="00936112"/>
    <w:rsid w:val="00956006"/>
    <w:rsid w:val="009A7670"/>
    <w:rsid w:val="009B1DDC"/>
    <w:rsid w:val="009C35FE"/>
    <w:rsid w:val="009F41D0"/>
    <w:rsid w:val="009F557B"/>
    <w:rsid w:val="00A42881"/>
    <w:rsid w:val="00A6152C"/>
    <w:rsid w:val="00A80501"/>
    <w:rsid w:val="00AA63B8"/>
    <w:rsid w:val="00AB4D5A"/>
    <w:rsid w:val="00AF5CE2"/>
    <w:rsid w:val="00B10B49"/>
    <w:rsid w:val="00B63CB6"/>
    <w:rsid w:val="00B674F7"/>
    <w:rsid w:val="00B83026"/>
    <w:rsid w:val="00B96B06"/>
    <w:rsid w:val="00BD1A43"/>
    <w:rsid w:val="00C073AC"/>
    <w:rsid w:val="00C13E7E"/>
    <w:rsid w:val="00C16239"/>
    <w:rsid w:val="00C22A6B"/>
    <w:rsid w:val="00C365E6"/>
    <w:rsid w:val="00C5603A"/>
    <w:rsid w:val="00C91A48"/>
    <w:rsid w:val="00C96065"/>
    <w:rsid w:val="00CA2F90"/>
    <w:rsid w:val="00CC0F75"/>
    <w:rsid w:val="00CC3E10"/>
    <w:rsid w:val="00CD3BBD"/>
    <w:rsid w:val="00CE4402"/>
    <w:rsid w:val="00CF3FE4"/>
    <w:rsid w:val="00D00CB6"/>
    <w:rsid w:val="00D0455A"/>
    <w:rsid w:val="00D05E99"/>
    <w:rsid w:val="00D36EB8"/>
    <w:rsid w:val="00D44072"/>
    <w:rsid w:val="00D4682C"/>
    <w:rsid w:val="00D70769"/>
    <w:rsid w:val="00D94E3F"/>
    <w:rsid w:val="00DA0829"/>
    <w:rsid w:val="00DA1C45"/>
    <w:rsid w:val="00DD6F7F"/>
    <w:rsid w:val="00DE4F12"/>
    <w:rsid w:val="00E4174E"/>
    <w:rsid w:val="00E43F37"/>
    <w:rsid w:val="00EB6DE9"/>
    <w:rsid w:val="00EE0DF5"/>
    <w:rsid w:val="00EF657A"/>
    <w:rsid w:val="00F02F76"/>
    <w:rsid w:val="00FC2C48"/>
    <w:rsid w:val="00FE093F"/>
    <w:rsid w:val="00FE2CF3"/>
    <w:rsid w:val="00FF0B98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CF4"/>
  <w15:chartTrackingRefBased/>
  <w15:docId w15:val="{E0A7C2A7-1311-40ED-AC3F-62C26539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E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E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E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E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E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E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E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E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E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E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E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E4F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E4F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E4F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E4F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E4F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E4F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E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E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E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E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E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E4F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E4F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E4F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E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E4F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E4F12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CA2F90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A2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69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8965067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603881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18510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79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7130056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609661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636743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182494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1832179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0874886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1751492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36421378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614114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181270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6608128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1870091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387989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7347081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053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97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3267545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06506341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3362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863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6981044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2352422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2083582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6485595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9622927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2568853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6213317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459464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6118485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5042842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2451763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3971256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7468466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32323910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287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81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669718579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55543269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17303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50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41343068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70668260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06695358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2342218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3584472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77617149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8069510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25868338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49117082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0570928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857546263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77694428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10168379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31435597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961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mailto:jpereira@frucom.eu" TargetMode="External"/><Relationship Id="rId42" Type="http://schemas.openxmlformats.org/officeDocument/2006/relationships/hyperlink" Target="https://food.ec.europa.eu/document/download/0d2941fe-29e0-4f9d-a72b-5190ed8f1220_en?filename=sc_phyto_20250217_ppr_sum.pdf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55" Type="http://schemas.openxmlformats.org/officeDocument/2006/relationships/hyperlink" Target="https://frucom.eu/component/attachments/attachments.html?task=attachment&amp;id=2669" TargetMode="Externa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https://teams.microsoft.com/l/meetup-join/19%3ameeting_YTE5MDlmNTctMDVmMy00NDhkLWE4MDctMDhmMzllNmNlODY2%40thread.v2/0?context=%7b%22Tid%22%3a%227d26e499-bb2b-4136-8597-207c7d5d9e8e%22%2c%22Oid%22%3a%2299f3daa8-9e98-4f3f-84db-1c65dfbed96e%22%7d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eur-lex.europa.eu/legal-content/EN/TXT/?uri=OJ:L_202500581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hyperlink" Target="https://www.gov.uk/government/news/nature-boost-government-launches-first-action-plan-on-pesticides-in-a-decade" TargetMode="External"/><Relationship Id="rId58" Type="http://schemas.openxmlformats.org/officeDocument/2006/relationships/hyperlink" Target="https://frucom.eu/component/attachments/attachments.html?task=attachment&amp;id=2672" TargetMode="External"/><Relationship Id="rId5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frucom.eu/component/attachments/attachments.html?task=attachment&amp;id=2673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https://frucom.eu/component/attachments/attachments.html?task=attachment&amp;id=2668" TargetMode="External"/><Relationship Id="rId56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https://efsa.onlinelibrary.wiley.com/doi/epdf/10.2903/j.efsa.2025.9314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mailto:ksaari@frucom.eu" TargetMode="External"/><Relationship Id="rId38" Type="http://schemas.openxmlformats.org/officeDocument/2006/relationships/hyperlink" Target="https://eu-sanctions-compliance-helpdesk.europa.eu/index_en" TargetMode="External"/><Relationship Id="rId46" Type="http://schemas.openxmlformats.org/officeDocument/2006/relationships/hyperlink" Target="https://frucom.eu/component/attachments/attachments.html?task=attachment&amp;id=2677" TargetMode="External"/><Relationship Id="rId59" Type="http://schemas.openxmlformats.org/officeDocument/2006/relationships/fontTable" Target="fontTable.xml"/><Relationship Id="rId20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hyperlink" Target="javascript:void(0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https://eur-lex.europa.eu/eli/reg_impl/2025/664/oj" TargetMode="External"/><Relationship Id="rId36" Type="http://schemas.openxmlformats.org/officeDocument/2006/relationships/hyperlink" Target="https://www.consilium.europa.eu/en/press/press-releases/2025/03/26/simplification-council-agrees-position-on-the-stop-the-clock-mechanism-to-enhance-eu-competitiveness/" TargetMode="External"/><Relationship Id="rId49" Type="http://schemas.openxmlformats.org/officeDocument/2006/relationships/hyperlink" Target="https://frucom.eu/component/attachments/attachments.html?task=attachment&amp;id=2667" TargetMode="External"/><Relationship Id="rId57" Type="http://schemas.openxmlformats.org/officeDocument/2006/relationships/hyperlink" Target="mailto:almendrave@almendrave.com" TargetMode="External"/><Relationship Id="rId10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s://frucom.eu/component/attachments/attachments.html?task=attachment&amp;id=2678" TargetMode="External"/><Relationship Id="rId52" Type="http://schemas.openxmlformats.org/officeDocument/2006/relationships/hyperlink" Target="javascript:void(0);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Turk</dc:creator>
  <cp:keywords/>
  <dc:description/>
  <cp:lastModifiedBy>Bilge Turk</cp:lastModifiedBy>
  <cp:revision>2</cp:revision>
  <dcterms:created xsi:type="dcterms:W3CDTF">2025-04-08T05:38:00Z</dcterms:created>
  <dcterms:modified xsi:type="dcterms:W3CDTF">2025-04-08T05:38:00Z</dcterms:modified>
</cp:coreProperties>
</file>