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33FDE" w:rsidRPr="00733FDE" w14:paraId="125E8FE3" w14:textId="77777777" w:rsidTr="00733FDE">
        <w:trPr>
          <w:jc w:val="center"/>
        </w:trPr>
        <w:tc>
          <w:tcPr>
            <w:tcW w:w="0" w:type="auto"/>
            <w:shd w:val="clear" w:color="auto" w:fill="15323A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33FDE" w:rsidRPr="00733FDE" w14:paraId="6173989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104703AC" w14:textId="77777777" w:rsidR="00733FDE" w:rsidRPr="00733FDE" w:rsidRDefault="00733FDE" w:rsidP="00733FDE">
                  <w:pPr>
                    <w:spacing w:after="120" w:line="240" w:lineRule="auto"/>
                    <w:jc w:val="both"/>
                    <w:outlineLvl w:val="3"/>
                    <w:rPr>
                      <w:rFonts w:ascii="Helvetica" w:eastAsia="Times New Roman" w:hAnsi="Helvetica" w:cs="Helvetica"/>
                      <w:b/>
                      <w:bCs/>
                      <w:cap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Helvetica" w:eastAsia="Times New Roman" w:hAnsi="Helvetica" w:cs="Helvetica"/>
                      <w:b/>
                      <w:bCs/>
                      <w:cap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FRUCOM NEWSLETTER 7/04/2025</w:t>
                  </w:r>
                </w:p>
                <w:p w14:paraId="0F6491A3" w14:textId="77777777" w:rsidR="00733FDE" w:rsidRPr="00733FDE" w:rsidRDefault="00733FDE" w:rsidP="00733FDE">
                  <w:pPr>
                    <w:numPr>
                      <w:ilvl w:val="0"/>
                      <w:numId w:val="49"/>
                    </w:num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FRUCOM ACTIVITIES</w:t>
                  </w:r>
                </w:p>
                <w:p w14:paraId="2033DDE1" w14:textId="77777777" w:rsidR="00733FDE" w:rsidRPr="00733FDE" w:rsidRDefault="00733FDE" w:rsidP="00733FDE">
                  <w:pPr>
                    <w:numPr>
                      <w:ilvl w:val="1"/>
                      <w:numId w:val="49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5" w:history="1"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FRUCOM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Sustainability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Working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Group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Meeting –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Presentations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Notes</w:t>
                    </w:r>
                    <w:proofErr w:type="spellEnd"/>
                  </w:hyperlink>
                </w:p>
                <w:p w14:paraId="00D3B50B" w14:textId="77777777" w:rsidR="00733FDE" w:rsidRPr="00733FDE" w:rsidRDefault="00733FDE" w:rsidP="00733FDE">
                  <w:pPr>
                    <w:numPr>
                      <w:ilvl w:val="1"/>
                      <w:numId w:val="49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6" w:history="1"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EU-US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Tariffs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FRUCOM Meeting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with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DG AGRI on 2 April</w:t>
                    </w:r>
                  </w:hyperlink>
                </w:p>
                <w:p w14:paraId="54D5123B" w14:textId="77777777" w:rsidR="00733FDE" w:rsidRPr="00733FDE" w:rsidRDefault="00733FDE" w:rsidP="00733FDE">
                  <w:pPr>
                    <w:numPr>
                      <w:ilvl w:val="1"/>
                      <w:numId w:val="49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7" w:history="1"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FRUCOM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participates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in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the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General Assembly of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the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UK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Nut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Dried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Fruit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Trade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Association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; UK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consults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in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response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to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US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Reciprocal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tariffs</w:t>
                    </w:r>
                    <w:proofErr w:type="spellEnd"/>
                  </w:hyperlink>
                </w:p>
                <w:p w14:paraId="0D2933DC" w14:textId="77777777" w:rsidR="00733FDE" w:rsidRPr="00733FDE" w:rsidRDefault="00733FDE" w:rsidP="00733FDE">
                  <w:pPr>
                    <w:numPr>
                      <w:ilvl w:val="0"/>
                      <w:numId w:val="49"/>
                    </w:num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 PRODUCTS</w:t>
                  </w:r>
                </w:p>
                <w:p w14:paraId="00B7365F" w14:textId="77777777" w:rsidR="00733FDE" w:rsidRPr="00733FDE" w:rsidRDefault="00733FDE" w:rsidP="00733FDE">
                  <w:pPr>
                    <w:numPr>
                      <w:ilvl w:val="1"/>
                      <w:numId w:val="49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8" w:history="1"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EU-US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Tariffs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EU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Member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States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to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formally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vote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EU Steel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Aluminium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additional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package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9 April</w:t>
                    </w:r>
                  </w:hyperlink>
                </w:p>
                <w:p w14:paraId="0FAD9DE0" w14:textId="77777777" w:rsidR="00733FDE" w:rsidRPr="00733FDE" w:rsidRDefault="00733FDE" w:rsidP="00733FDE">
                  <w:pPr>
                    <w:numPr>
                      <w:ilvl w:val="1"/>
                      <w:numId w:val="49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9" w:history="1"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Fourth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update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EU-US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Trade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FRUCOM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Frequently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Asked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Questions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document</w:t>
                    </w:r>
                    <w:proofErr w:type="spellEnd"/>
                  </w:hyperlink>
                </w:p>
                <w:p w14:paraId="128E592B" w14:textId="77777777" w:rsidR="00733FDE" w:rsidRPr="00733FDE" w:rsidRDefault="00733FDE" w:rsidP="00733FDE">
                  <w:pPr>
                    <w:numPr>
                      <w:ilvl w:val="1"/>
                      <w:numId w:val="49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0" w:history="1"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EU-US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Trade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FRUCOM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co-signs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industry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letter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to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call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for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removal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almonds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,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dried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fruits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nuts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from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Steel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Alu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. </w:t>
                    </w:r>
                    <w:proofErr w:type="spellStart"/>
                    <w:proofErr w:type="gram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countermeasures</w:t>
                    </w:r>
                    <w:proofErr w:type="spellEnd"/>
                    <w:proofErr w:type="gram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future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trade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measures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against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US</w:t>
                    </w:r>
                  </w:hyperlink>
                </w:p>
                <w:p w14:paraId="79FF8DD6" w14:textId="77777777" w:rsidR="00733FDE" w:rsidRPr="00733FDE" w:rsidRDefault="00733FDE" w:rsidP="00733FDE">
                  <w:pPr>
                    <w:numPr>
                      <w:ilvl w:val="1"/>
                      <w:numId w:val="49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1" w:history="1"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European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Parliament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postpones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application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date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for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corporate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sustainability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reporting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due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diligence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directives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(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Omnibus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I)</w:t>
                    </w:r>
                  </w:hyperlink>
                </w:p>
                <w:p w14:paraId="5BF150AD" w14:textId="77777777" w:rsidR="00733FDE" w:rsidRPr="00733FDE" w:rsidRDefault="00733FDE" w:rsidP="00733FDE">
                  <w:pPr>
                    <w:numPr>
                      <w:ilvl w:val="1"/>
                      <w:numId w:val="49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2" w:history="1"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Organics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upcoming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initiative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import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checks</w:t>
                    </w:r>
                    <w:proofErr w:type="spellEnd"/>
                  </w:hyperlink>
                </w:p>
                <w:p w14:paraId="53B0DDBB" w14:textId="77777777" w:rsidR="00733FDE" w:rsidRPr="00733FDE" w:rsidRDefault="00733FDE" w:rsidP="00733FDE">
                  <w:pPr>
                    <w:numPr>
                      <w:ilvl w:val="1"/>
                      <w:numId w:val="49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3" w:history="1"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EFSA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conclusion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meptyldinocap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MRL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for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grapes</w:t>
                    </w:r>
                    <w:proofErr w:type="spellEnd"/>
                  </w:hyperlink>
                </w:p>
                <w:p w14:paraId="43372374" w14:textId="77777777" w:rsidR="00733FDE" w:rsidRPr="00733FDE" w:rsidRDefault="00733FDE" w:rsidP="00733FDE">
                  <w:pPr>
                    <w:numPr>
                      <w:ilvl w:val="1"/>
                      <w:numId w:val="49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4" w:history="1"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US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comments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EU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MRLs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for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neonics</w:t>
                    </w:r>
                    <w:proofErr w:type="spellEnd"/>
                  </w:hyperlink>
                </w:p>
                <w:p w14:paraId="3557EEC9" w14:textId="77777777" w:rsidR="00733FDE" w:rsidRPr="00733FDE" w:rsidRDefault="00733FDE" w:rsidP="00733FDE">
                  <w:pPr>
                    <w:numPr>
                      <w:ilvl w:val="1"/>
                      <w:numId w:val="49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5" w:history="1"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US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coments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EU's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ED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criterias</w:t>
                    </w:r>
                    <w:proofErr w:type="spellEnd"/>
                  </w:hyperlink>
                </w:p>
                <w:p w14:paraId="0970601A" w14:textId="77777777" w:rsidR="00733FDE" w:rsidRPr="00733FDE" w:rsidRDefault="00733FDE" w:rsidP="00733FDE">
                  <w:pPr>
                    <w:numPr>
                      <w:ilvl w:val="1"/>
                      <w:numId w:val="49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6" w:history="1"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US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statement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regarding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EU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MRLs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,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including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dithiocarbamates</w:t>
                    </w:r>
                    <w:proofErr w:type="spellEnd"/>
                  </w:hyperlink>
                </w:p>
                <w:p w14:paraId="37237912" w14:textId="77777777" w:rsidR="00733FDE" w:rsidRPr="00733FDE" w:rsidRDefault="00733FDE" w:rsidP="00733FDE">
                  <w:pPr>
                    <w:numPr>
                      <w:ilvl w:val="1"/>
                      <w:numId w:val="49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7" w:history="1"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Contaminants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Environment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Agency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mycotoxin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briefing</w:t>
                    </w:r>
                    <w:proofErr w:type="spellEnd"/>
                  </w:hyperlink>
                </w:p>
                <w:p w14:paraId="66E88725" w14:textId="77777777" w:rsidR="00733FDE" w:rsidRPr="00733FDE" w:rsidRDefault="00733FDE" w:rsidP="00733FDE">
                  <w:pPr>
                    <w:numPr>
                      <w:ilvl w:val="1"/>
                      <w:numId w:val="49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8" w:history="1"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Contaminants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AGRI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committee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discussion</w:t>
                    </w:r>
                    <w:proofErr w:type="spell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</w:t>
                    </w:r>
                    <w:proofErr w:type="spell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mycotoxins</w:t>
                    </w:r>
                    <w:proofErr w:type="spellEnd"/>
                  </w:hyperlink>
                </w:p>
                <w:p w14:paraId="01958DF5" w14:textId="77777777" w:rsidR="00733FDE" w:rsidRPr="00733FDE" w:rsidRDefault="00733FDE" w:rsidP="00733FDE">
                  <w:pPr>
                    <w:numPr>
                      <w:ilvl w:val="1"/>
                      <w:numId w:val="49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9" w:history="1"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RASFF NOTIFICATION: 2025/14 (31/03/</w:t>
                    </w:r>
                    <w:proofErr w:type="gramStart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2025 -</w:t>
                    </w:r>
                    <w:proofErr w:type="gramEnd"/>
                    <w:r w:rsidRPr="00733FDE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06/04/2025)</w:t>
                    </w:r>
                  </w:hyperlink>
                </w:p>
              </w:tc>
            </w:tr>
            <w:tr w:rsidR="00733FDE" w:rsidRPr="00733FDE" w14:paraId="2334C8C5" w14:textId="77777777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AB2AA1C" w14:textId="77777777" w:rsidR="00733FDE" w:rsidRPr="00733FDE" w:rsidRDefault="00733FDE" w:rsidP="00733FDE">
                  <w:p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</w:tbl>
          <w:p w14:paraId="3B06E3D1" w14:textId="77777777" w:rsidR="00733FDE" w:rsidRPr="00733FDE" w:rsidRDefault="00733FDE" w:rsidP="00733FD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D2D38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733FDE" w:rsidRPr="00733FDE" w14:paraId="2781F183" w14:textId="77777777" w:rsidTr="00733FD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33FDE" w:rsidRPr="00733FDE" w14:paraId="5738D051" w14:textId="77777777">
              <w:trPr>
                <w:trHeight w:val="7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0C2AB77" w14:textId="77777777" w:rsidR="00733FDE" w:rsidRPr="00733FDE" w:rsidRDefault="00733FDE" w:rsidP="00733FDE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  <w:tr w:rsidR="00733FDE" w:rsidRPr="00733FDE" w14:paraId="17F391F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99C9655" w14:textId="77777777" w:rsidR="00733FDE" w:rsidRPr="00733FDE" w:rsidRDefault="00733FDE" w:rsidP="00733FDE">
                  <w:pPr>
                    <w:spacing w:after="120" w:line="240" w:lineRule="auto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>FRUCOM ACTIVITIES</w:t>
                  </w:r>
                </w:p>
                <w:p w14:paraId="47400BBA" w14:textId="77777777" w:rsidR="00733FDE" w:rsidRPr="00733FDE" w:rsidRDefault="00733FDE" w:rsidP="00733FDE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0" w:history="1">
                    <w:r w:rsidRPr="00733FDE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FRUCOM Sustainability Working Group Meeting – Presentations and Notes</w:t>
                    </w:r>
                  </w:hyperlink>
                </w:p>
                <w:p w14:paraId="7F0EB808" w14:textId="77777777" w:rsidR="00733FDE" w:rsidRPr="00733FDE" w:rsidRDefault="00733FDE" w:rsidP="00733FD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Working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Group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took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Wednesday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 April.</w:t>
                  </w:r>
                </w:p>
                <w:p w14:paraId="72B70676" w14:textId="77777777" w:rsidR="00733FDE" w:rsidRPr="00733FDE" w:rsidRDefault="00733FDE" w:rsidP="00733FD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can be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downloaded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here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begin"/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instrText>HYPERLINK "https://frucom.eu/component/attachments/attachments.html?task=attachment&amp;id=2681"</w:instrTex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separate"/>
                  </w:r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Notes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WG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02.04.2025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end"/>
                  </w:r>
                </w:p>
                <w:p w14:paraId="727FCAEF" w14:textId="77777777" w:rsidR="00733FDE" w:rsidRPr="00733FDE" w:rsidRDefault="00733FDE" w:rsidP="00733FD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Presentations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can be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downloaded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below</w:t>
                  </w:r>
                  <w:proofErr w:type="spellEnd"/>
                </w:p>
                <w:p w14:paraId="2B992C96" w14:textId="77777777" w:rsidR="00733FDE" w:rsidRPr="00733FDE" w:rsidRDefault="00733FDE" w:rsidP="00733FD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Cristina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LARREA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Director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Agriculture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Food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Initiatives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International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Institute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Development (IISD) </w:t>
                  </w:r>
                  <w:hyperlink r:id="rId21" w:history="1"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IISDFrucomApril2025</w:t>
                    </w:r>
                  </w:hyperlink>
                </w:p>
                <w:p w14:paraId="2E50306A" w14:textId="77777777" w:rsidR="00733FDE" w:rsidRPr="00733FDE" w:rsidRDefault="00733FDE" w:rsidP="00733FD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Jane MAIGUA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Exotic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EPZ Limited, Kenya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begin"/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instrText>HYPERLINK "https://frucom.eu/component/attachments/attachments.html?task=attachment&amp;id=2683"</w:instrTex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separate"/>
                  </w:r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Exotic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EPZ </w:t>
                  </w:r>
                  <w:proofErr w:type="spellStart"/>
                  <w:proofErr w:type="gramStart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-</w:t>
                  </w:r>
                  <w:proofErr w:type="gramEnd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Opportunities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Challenges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end"/>
                  </w:r>
                </w:p>
                <w:p w14:paraId="555E15A5" w14:textId="77777777" w:rsidR="00733FDE" w:rsidRPr="00733FDE" w:rsidRDefault="00733FDE" w:rsidP="00733FD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Julie LUDVIGSEN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Cashew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Manager, ETG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begin"/>
                  </w: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instrText>HYPERLINK "https://frucom.eu/component/attachments/attachments.html?task=attachment&amp;id=2684"</w:instrText>
                  </w: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separate"/>
                  </w:r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ETG_FRUCOM_Cashew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end"/>
                  </w:r>
                </w:p>
                <w:p w14:paraId="15712B31" w14:textId="77777777" w:rsidR="00733FDE" w:rsidRPr="00733FDE" w:rsidRDefault="00733FDE" w:rsidP="00733FD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FRUCOM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future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actions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hyperlink r:id="rId22" w:history="1"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FRUCOM </w:t>
                    </w:r>
                    <w:proofErr w:type="spellStart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Sustainability</w:t>
                    </w:r>
                    <w:proofErr w:type="spellEnd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Working</w:t>
                    </w:r>
                    <w:proofErr w:type="spellEnd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Group</w:t>
                    </w:r>
                    <w:proofErr w:type="spellEnd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Meeting 2 April</w:t>
                    </w:r>
                  </w:hyperlink>
                </w:p>
                <w:p w14:paraId="3192BEE2" w14:textId="77777777" w:rsidR="00733FDE" w:rsidRPr="00733FDE" w:rsidRDefault="00733FDE" w:rsidP="00733FD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FRUCOM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Secretariat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thanks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chairs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speakers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participated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Waren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Verein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contacts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Ludvigsen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4C5AE723" w14:textId="77777777" w:rsidR="00733FDE" w:rsidRDefault="00733FDE" w:rsidP="00733FDE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6D4F698D" w14:textId="07DD3585" w:rsidR="00733FDE" w:rsidRPr="00733FDE" w:rsidRDefault="00733FDE" w:rsidP="00733FDE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3" w:history="1">
                    <w:r w:rsidRPr="00733FDE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EU-US Tariffs: FRUCOM Meeting with DG AGRI on 2 April</w:t>
                    </w:r>
                  </w:hyperlink>
                </w:p>
                <w:p w14:paraId="1A912EC0" w14:textId="77777777" w:rsidR="00733FDE" w:rsidRPr="00733FDE" w:rsidRDefault="00733FDE" w:rsidP="00733FD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FRUCOM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met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officers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Directorate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General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Agriculture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responsible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Americas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4EBB3E36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can be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found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here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begin"/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instrText>HYPERLINK "https://frucom.eu/component/attachments/attachments.html?task=attachment&amp;id=2679"</w:instrTex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separate"/>
                  </w:r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Notes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FRUCOM -</w:t>
                  </w:r>
                  <w:proofErr w:type="gramEnd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DG AGRI Exchange on EU-US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2 April 2025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end"/>
                  </w:r>
                </w:p>
                <w:p w14:paraId="004E7BE2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restricted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took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3 April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Permanent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Representatives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COREPER II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configuration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prepare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FAC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further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restricted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4 April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hold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exchange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views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EU-US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relations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2850383C" w14:textId="77777777" w:rsidR="00AA37D3" w:rsidRDefault="00AA37D3" w:rsidP="00AA37D3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55272049" w14:textId="46C901A0" w:rsidR="00733FDE" w:rsidRPr="00733FDE" w:rsidRDefault="00733FDE" w:rsidP="00AA37D3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4" w:history="1">
                    <w:r w:rsidRPr="00733FDE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FRUCOM participates in the General Assembly of the UK Nut and Dried Fruit Trade Association; UK consults in response to US Reciprocal tariffs</w:t>
                    </w:r>
                  </w:hyperlink>
                </w:p>
                <w:p w14:paraId="590E833C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FRUCOM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honoured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invited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participate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NDFTA General Assembly on 04 April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London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1CCD7229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Lebo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Mofolo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FRUCOM’s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Advisor,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EU-US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actions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FRUCOM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10A14ED0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highlighting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important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cooperation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collective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work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been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undertaken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EU-US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FRUCOM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raised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matter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UK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Government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consultation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UK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businesses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potential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US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subject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countermeasures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should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resolution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fail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 May.</w:t>
                  </w:r>
                </w:p>
                <w:p w14:paraId="175932B8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consultation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open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UK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businesses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running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 April 2025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 May 2025 11:59pm UK time.</w:t>
                  </w:r>
                </w:p>
                <w:p w14:paraId="53FB7650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Request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Input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Indicative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US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alia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</w:t>
                  </w:r>
                </w:p>
                <w:p w14:paraId="70F6C11D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Frozen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processed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fish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seafood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chapters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03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16)</w:t>
                  </w:r>
                </w:p>
                <w:p w14:paraId="455B5E82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Dried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Process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vegetables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chapters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08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20)</w:t>
                  </w:r>
                </w:p>
                <w:p w14:paraId="5D458D7F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Dried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prunes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(CN 08132000)</w:t>
                  </w:r>
                </w:p>
                <w:p w14:paraId="50522D08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Peanut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butter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(CN 20081110)</w:t>
                  </w:r>
                </w:p>
                <w:p w14:paraId="7B967B52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Groundnuts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prepared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preserved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immediate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packings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a net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 &gt;</w:t>
                  </w:r>
                  <w:proofErr w:type="gram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 kg (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proofErr w:type="gram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roasted</w:t>
                  </w:r>
                  <w:proofErr w:type="spellEnd"/>
                  <w:proofErr w:type="gram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preserved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sugar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peanut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butter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 (CN 20081191)</w:t>
                  </w:r>
                </w:p>
                <w:p w14:paraId="5705FCD0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Groundnuts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roasted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immediate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packings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a net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&lt;= 1 kg (CN 20081196)</w:t>
                  </w:r>
                </w:p>
                <w:p w14:paraId="1BC09381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·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Groundnuts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prepared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preserved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immediate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packings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&lt;= 1 kg (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proofErr w:type="gram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roasted</w:t>
                  </w:r>
                  <w:proofErr w:type="spellEnd"/>
                  <w:proofErr w:type="gram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preserved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sugar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peanut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butter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 (CN 20081198)</w:t>
                  </w:r>
                </w:p>
                <w:p w14:paraId="45E76A78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Roasted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almonds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pistachios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immediate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packings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a net </w:t>
                  </w:r>
                  <w:proofErr w:type="spellStart"/>
                  <w:proofErr w:type="gram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&gt;</w:t>
                  </w:r>
                  <w:proofErr w:type="gram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 kg (CN 20081913)</w:t>
                  </w:r>
                </w:p>
                <w:p w14:paraId="59EC56AF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Roasted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almonds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pistachios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immediate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packings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a net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&lt;= 1 kg (CN 20081993)</w:t>
                  </w:r>
                </w:p>
                <w:p w14:paraId="5AC6504A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Dried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grapes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proofErr w:type="gram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currants</w:t>
                  </w:r>
                  <w:proofErr w:type="spellEnd"/>
                  <w:proofErr w:type="gram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sultanas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 (CN 08062090)</w:t>
                  </w:r>
                </w:p>
                <w:p w14:paraId="05030320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According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UK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Government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covers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27%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selected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UK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Government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because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they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would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"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limited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impact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"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UK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economy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F9B86BD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extract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can be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found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here </w:t>
                  </w:r>
                  <w:hyperlink r:id="rId25" w:history="1"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UK </w:t>
                    </w:r>
                    <w:proofErr w:type="spellStart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FRUCOM </w:t>
                    </w:r>
                    <w:proofErr w:type="spellStart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products</w:t>
                    </w:r>
                    <w:proofErr w:type="spellEnd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in </w:t>
                    </w:r>
                    <w:proofErr w:type="spellStart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Request</w:t>
                    </w:r>
                    <w:proofErr w:type="spellEnd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for</w:t>
                    </w:r>
                    <w:proofErr w:type="spellEnd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input</w:t>
                    </w:r>
                    <w:proofErr w:type="spellEnd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indicative</w:t>
                    </w:r>
                    <w:proofErr w:type="spellEnd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product</w:t>
                    </w:r>
                    <w:proofErr w:type="spellEnd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list</w:t>
                    </w:r>
                    <w:proofErr w:type="spellEnd"/>
                  </w:hyperlink>
                </w:p>
                <w:p w14:paraId="6C8CEFA0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copy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NDFTA General Assembly can be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found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here </w:t>
                  </w:r>
                  <w:hyperlink r:id="rId26" w:history="1"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FRUCOM Presentation 2025 EU-US Steel </w:t>
                    </w:r>
                    <w:proofErr w:type="spellStart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Aluminium</w:t>
                    </w:r>
                    <w:proofErr w:type="spellEnd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gramStart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NDFTA -</w:t>
                    </w:r>
                    <w:proofErr w:type="gramEnd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almonds</w:t>
                    </w:r>
                    <w:proofErr w:type="spellEnd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cranberries</w:t>
                    </w:r>
                    <w:proofErr w:type="spellEnd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other</w:t>
                    </w:r>
                    <w:proofErr w:type="spellEnd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products</w:t>
                    </w:r>
                    <w:proofErr w:type="spellEnd"/>
                  </w:hyperlink>
                </w:p>
                <w:p w14:paraId="75D1CDB3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27" w:history="1"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https://www.gov.uk/government/publications/request-for-input-on-potential-uk-measures-in-response-to-us-tariffs</w:t>
                    </w:r>
                  </w:hyperlink>
                </w:p>
                <w:p w14:paraId="6FD966C2" w14:textId="77777777" w:rsidR="00AA37D3" w:rsidRDefault="00AA37D3" w:rsidP="00AA37D3">
                  <w:pPr>
                    <w:spacing w:after="120" w:line="240" w:lineRule="auto"/>
                    <w:jc w:val="both"/>
                    <w:outlineLvl w:val="1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3931D95B" w14:textId="036FB758" w:rsidR="00733FDE" w:rsidRPr="00733FDE" w:rsidRDefault="00733FDE" w:rsidP="00AA37D3">
                  <w:pPr>
                    <w:spacing w:after="120" w:line="240" w:lineRule="auto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>ALL PRODUCTS</w:t>
                  </w:r>
                </w:p>
                <w:p w14:paraId="486C4F20" w14:textId="77777777" w:rsidR="00733FDE" w:rsidRPr="00733FDE" w:rsidRDefault="00733FDE" w:rsidP="00AA37D3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8" w:history="1">
                    <w:r w:rsidRPr="00733FDE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EU-US Tariffs: EU Member States to formally vote on EU Steel and Aluminium additional package on 9 April</w:t>
                    </w:r>
                  </w:hyperlink>
                </w:p>
                <w:p w14:paraId="7E245B02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EU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States’s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ministers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foreign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affairs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met on 7 April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configuration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where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they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discussed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EU's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relations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guidance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forthcoming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work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3C45A81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his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statements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Maroš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Šefčovič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outlined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outcomes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</w:t>
                  </w:r>
                </w:p>
                <w:p w14:paraId="2ED0ED97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response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steel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aluminium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received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valuable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feedback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our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660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stakeholders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203794D2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After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carefully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reviewing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it,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worked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table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robust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countermeasures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balancing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burden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across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0F550366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sending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final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later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today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4B7021FE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vote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set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April 9,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final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April 15.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Duties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kick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first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set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May 15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remaining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27D4E11F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terms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Steel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Aluminium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foresees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possibility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delay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further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2CCD1F8E" w14:textId="77777777" w:rsidR="00733FDE" w:rsidRPr="00733FDE" w:rsidRDefault="00733FDE" w:rsidP="00AA37D3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On 8 April,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between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15:</w:t>
                  </w:r>
                  <w:proofErr w:type="gram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00 -</w:t>
                  </w:r>
                  <w:proofErr w:type="gram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18:30 CET,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Parliament’s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Committee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International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(INTA)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hold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camera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debate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Commission’s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DG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Director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-General Sabine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Weyand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EU-US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relations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announcement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US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reciprocal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2 April.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can be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livestreamed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here </w:t>
                  </w:r>
                  <w:hyperlink r:id="rId29" w:history="1"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https://multimedia.europarl.europa.eu/en/webstreaming/committee-on-international-trade-ordinary-meeting_20250408-1600-COMMITTEE-INTA</w:t>
                    </w:r>
                  </w:hyperlink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</w:p>
                <w:p w14:paraId="54405464" w14:textId="77777777" w:rsidR="00733FDE" w:rsidRPr="00733FDE" w:rsidRDefault="00733FDE" w:rsidP="00AA37D3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Further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EU's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response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steel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aluminium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preparation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ministers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addressed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possibility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further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proportionate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countermeasures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if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needed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42F256F2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announcement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2 April (US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local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time)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United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government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President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Trump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impose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20%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effect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April 9, 2025, at 12:01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a.m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 EDT.</w:t>
                  </w:r>
                </w:p>
                <w:p w14:paraId="65FE5ADA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baseline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10%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countries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except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those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subject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individualized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reciprocal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because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larger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surprlus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United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effect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April 5, 2025, at 12:01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a.m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 EDT.</w:t>
                  </w:r>
                </w:p>
                <w:p w14:paraId="69F04E56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excludes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already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subject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such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steel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aluminium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Section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232.</w:t>
                  </w:r>
                </w:p>
                <w:p w14:paraId="42FA1DB9" w14:textId="4390A4CA" w:rsidR="00733FDE" w:rsidRPr="00733FDE" w:rsidRDefault="00CC656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0" w:history="1">
                    <w:r w:rsidRPr="00733FDE">
                      <w:rPr>
                        <w:rStyle w:val="Kpr"/>
                        <w:rFonts w:ascii="Arial" w:eastAsia="Times New Roman" w:hAnsi="Arial" w:cs="Arial"/>
                        <w:kern w:val="0"/>
                        <w:sz w:val="24"/>
                        <w:szCs w:val="24"/>
                        <w:bdr w:val="none" w:sz="0" w:space="0" w:color="auto" w:frame="1"/>
                        <w:lang w:eastAsia="tr-TR"/>
                        <w14:ligatures w14:val="none"/>
                      </w:rPr>
                      <w:t>https://www.whitehouse.gov/presidential-actions/2025/04/regulating-imports-with-a-reciprocal-tariff-to-rectify-trade-practices-that-contribute-to-large-and-persistent-annual-united-states-goods-trade-deficits</w:t>
                    </w:r>
                  </w:hyperlink>
                </w:p>
                <w:p w14:paraId="10530BF1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Michał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Baranowski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Undersecretary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Ministry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Economic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Development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Technology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Poland,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responsible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Briefing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focusing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moment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“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called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”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reciprocal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because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because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methodology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administration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not yet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entirely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clear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those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chosen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CFDC5D6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light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developments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particularly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imposition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US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ministers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took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opportunity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impact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new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explore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potential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mutually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acceptable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solutions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remains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EU’s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preferred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approach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0E9B7FCE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</w:t>
                  </w:r>
                </w:p>
                <w:p w14:paraId="7E82CC3C" w14:textId="6135967E" w:rsidR="00733FDE" w:rsidRPr="00733FDE" w:rsidRDefault="00CC656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1" w:history="1">
                    <w:r w:rsidRPr="00733FDE">
                      <w:rPr>
                        <w:rStyle w:val="Kpr"/>
                        <w:rFonts w:ascii="Arial" w:eastAsia="Times New Roman" w:hAnsi="Arial" w:cs="Arial"/>
                        <w:kern w:val="0"/>
                        <w:sz w:val="24"/>
                        <w:szCs w:val="24"/>
                        <w:bdr w:val="none" w:sz="0" w:space="0" w:color="auto" w:frame="1"/>
                        <w:lang w:eastAsia="tr-TR"/>
                        <w14:ligatures w14:val="none"/>
                      </w:rPr>
                      <w:t>https://www.consilium.europa.eu/en/meetings/fac/2025/04/07/</w:t>
                    </w:r>
                  </w:hyperlink>
                </w:p>
                <w:p w14:paraId="7AE22828" w14:textId="0368D424" w:rsidR="00733FDE" w:rsidRPr="00733FDE" w:rsidRDefault="00CC656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2" w:history="1">
                    <w:r w:rsidRPr="00733FDE">
                      <w:rPr>
                        <w:rStyle w:val="Kpr"/>
                        <w:rFonts w:ascii="Arial" w:eastAsia="Times New Roman" w:hAnsi="Arial" w:cs="Arial"/>
                        <w:kern w:val="0"/>
                        <w:sz w:val="24"/>
                        <w:szCs w:val="24"/>
                        <w:bdr w:val="none" w:sz="0" w:space="0" w:color="auto" w:frame="1"/>
                        <w:lang w:eastAsia="tr-TR"/>
                        <w14:ligatures w14:val="none"/>
                      </w:rPr>
                      <w:t>https://ec.europa.eu/commission/presscorner/detail/en/speech_25_1001</w:t>
                    </w:r>
                  </w:hyperlink>
                </w:p>
                <w:p w14:paraId="23946D71" w14:textId="77777777" w:rsidR="00CC656E" w:rsidRDefault="00CC656E" w:rsidP="00CC656E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0E89244A" w14:textId="082F8F2D" w:rsidR="00733FDE" w:rsidRPr="00733FDE" w:rsidRDefault="00733FDE" w:rsidP="00CC656E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3" w:history="1">
                    <w:r w:rsidRPr="00733FDE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Fourth update of EU-US Trade: FRUCOM Frequently Asked Questions document</w:t>
                    </w:r>
                  </w:hyperlink>
                </w:p>
                <w:p w14:paraId="3E41D3CB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Given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developments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FRUCOM has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updated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Frequently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Asked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Questions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documents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covering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range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questions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pertinent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developments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affecting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EU-US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relevance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E66F353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Should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pressing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question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would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like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addressed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FAQ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document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please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contact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Lebo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Mofolo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, </w:t>
                  </w:r>
                  <w:hyperlink r:id="rId34" w:history="1"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lmofolo@frucom.eu</w:t>
                    </w:r>
                  </w:hyperlink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Anna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Boulova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hyperlink r:id="rId35" w:history="1"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aboulova@frucom.eu</w:t>
                    </w:r>
                  </w:hyperlink>
                </w:p>
                <w:p w14:paraId="4E91BC86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Contents</w:t>
                  </w:r>
                  <w:proofErr w:type="spellEnd"/>
                </w:p>
                <w:p w14:paraId="47FA46CF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1.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United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imposing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new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partners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?</w:t>
                  </w:r>
                </w:p>
                <w:p w14:paraId="677B3CC7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2. Has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United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new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EU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?</w:t>
                  </w:r>
                </w:p>
                <w:p w14:paraId="7DD7865D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&gt; Steel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Aluminium</w:t>
                  </w:r>
                  <w:proofErr w:type="spellEnd"/>
                </w:p>
                <w:p w14:paraId="504AA973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&gt;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Reciprocal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plan</w:t>
                  </w:r>
                </w:p>
                <w:p w14:paraId="5B5390CB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 xml:space="preserve">3.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EU’s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position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US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?</w:t>
                  </w:r>
                </w:p>
                <w:p w14:paraId="2FE6AACB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&gt;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Reciprocal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</w:p>
                <w:p w14:paraId="3F32E891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&gt; Steel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Aluminium</w:t>
                  </w:r>
                  <w:proofErr w:type="spellEnd"/>
                </w:p>
                <w:p w14:paraId="1F10CCB5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4.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EU-US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terms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?</w:t>
                  </w:r>
                </w:p>
                <w:p w14:paraId="628A00E9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&gt;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Section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232 / Steel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Aluminium</w:t>
                  </w:r>
                  <w:proofErr w:type="spellEnd"/>
                </w:p>
                <w:p w14:paraId="6351DD95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&gt; Airbus Boeing /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Large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Civil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Aircraft</w:t>
                  </w:r>
                </w:p>
                <w:p w14:paraId="56AE8F65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5.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legal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basis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can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dispute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?</w:t>
                  </w:r>
                </w:p>
                <w:p w14:paraId="01BFEF9C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6.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FRUCOM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doing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?</w:t>
                  </w:r>
                </w:p>
                <w:p w14:paraId="3B57E5F3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6" w:history="1"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V4 EU-US </w:t>
                    </w:r>
                    <w:proofErr w:type="spellStart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Trade</w:t>
                    </w:r>
                    <w:proofErr w:type="spellEnd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FRUCOM </w:t>
                    </w:r>
                    <w:proofErr w:type="spellStart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Frequently</w:t>
                    </w:r>
                    <w:proofErr w:type="spellEnd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Asked</w:t>
                    </w:r>
                    <w:proofErr w:type="spellEnd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Questions</w:t>
                    </w:r>
                    <w:proofErr w:type="spellEnd"/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2025 07 April</w:t>
                    </w:r>
                  </w:hyperlink>
                </w:p>
                <w:p w14:paraId="35D60EF8" w14:textId="77777777" w:rsidR="00CC656E" w:rsidRDefault="00CC656E" w:rsidP="00CC656E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22739077" w14:textId="10375574" w:rsidR="00733FDE" w:rsidRPr="00733FDE" w:rsidRDefault="00733FDE" w:rsidP="00CC656E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7" w:history="1">
                    <w:r w:rsidRPr="00733FDE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EU-US Trade: FRUCOM co-signs industry letter to call for removal of almonds, dried fruits and nuts from Steel and Alu. countermeasures and future trade measures against US</w:t>
                    </w:r>
                  </w:hyperlink>
                </w:p>
                <w:p w14:paraId="4679E465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joint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letter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Snacks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Association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(ESA),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Association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Chocolate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Biscuit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Confectionery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Industries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Europe (CAOBISCO),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Federation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dried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edible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processed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&amp;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vegetables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processed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fishery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(FRUCOM)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Association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German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Confectionery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Industry (BDSI)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sent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Maroš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Šefčovič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Friday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4 April,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highlighting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remove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almonds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countermeasures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Steel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Aluminium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4D3BD540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Additionally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signatories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argued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as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considers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further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retaliatory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given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reciprocal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2 April,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our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industries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wish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recall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value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market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created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through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dried-fruits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United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–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cannot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substituted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either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Third Country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origin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signatories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therefore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strongly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called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exclude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dried-fruits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potential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retaliatory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actions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0B70DAEF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letter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can be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accessed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here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begin"/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instrText>HYPERLINK "https://frucom.eu/component/attachments/attachments.html?task=attachment&amp;id=2689"</w:instrTex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separate"/>
                  </w:r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Almond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Letter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Commissioner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efovi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end"/>
                  </w:r>
                </w:p>
                <w:p w14:paraId="038BBEC5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FRUCOM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participating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call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Open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coalition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-</w:t>
                  </w:r>
                  <w:proofErr w:type="gram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EU-US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call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foreseen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days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272C4365" w14:textId="77777777" w:rsidR="00CC656E" w:rsidRDefault="00CC656E" w:rsidP="00CC656E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75A545F9" w14:textId="70091309" w:rsidR="00733FDE" w:rsidRPr="00733FDE" w:rsidRDefault="00733FDE" w:rsidP="00CC656E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8" w:history="1">
                    <w:r w:rsidRPr="00733FDE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European Parliament postpones application date for corporate sustainability reporting and due diligence directives (Omnibus I)</w:t>
                    </w:r>
                  </w:hyperlink>
                </w:p>
                <w:p w14:paraId="607A5A04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Thursday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3 April,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voted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postpone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new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laws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diligence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requirements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0DC2F55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531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votes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69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against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17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abstentions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MEPs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supported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</w:p>
                <w:p w14:paraId="2A10AE97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-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postpone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two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years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entry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 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requirements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large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companies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yet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started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CSRD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SMEs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Wave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3)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CSRD</w:t>
                  </w:r>
                </w:p>
                <w:p w14:paraId="5D06A11C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-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postpone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year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transposition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deadline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(26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2027)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first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phase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diligence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requirements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covering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largest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companies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26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2028)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CSDDD</w:t>
                  </w:r>
                </w:p>
                <w:p w14:paraId="625F893C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Next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steps</w:t>
                  </w:r>
                  <w:proofErr w:type="spellEnd"/>
                </w:p>
                <w:p w14:paraId="0620A961" w14:textId="77777777" w:rsidR="00733FDE" w:rsidRPr="00733FDE" w:rsidRDefault="00733FDE" w:rsidP="00CC656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speed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up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agreed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Tuesday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file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begin"/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instrText>HYPERLINK "https://www.europarl.europa.eu/doceo/document/RULES-10-2025-01-20-RULE-170_EN.html"</w:instrTex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separate"/>
                  </w:r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urgent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procedure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end"/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enter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force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draft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law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now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formal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begin"/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instrText>HYPERLINK "https://www.consilium.europa.eu/en/press/press-releases/2025/03/26/simplification-council-agrees-position-on-the-stop-the-clock-mechanism-to-enhance-eu-competitiveness/"</w:instrTex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separate"/>
                  </w:r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endorsed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same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end"/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text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26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2025.</w:t>
                  </w:r>
                </w:p>
                <w:p w14:paraId="595111A7" w14:textId="77777777" w:rsidR="00CC656E" w:rsidRDefault="00733FDE" w:rsidP="00CC656E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39" w:history="1"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https://www.europarl.europa.eu/news/en/press-room/20250331IPR27557/sustainability-and-due-diligence-meps-agree-to-delay-application-of-new-rules</w:t>
                    </w:r>
                  </w:hyperlink>
                </w:p>
                <w:p w14:paraId="5E35E541" w14:textId="0733625C" w:rsidR="00733FDE" w:rsidRPr="00733FDE" w:rsidRDefault="00733FDE" w:rsidP="00CC656E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</w:p>
                <w:p w14:paraId="54A8C980" w14:textId="77777777" w:rsidR="00733FDE" w:rsidRPr="00733FDE" w:rsidRDefault="00733FDE" w:rsidP="00CC656E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40" w:history="1">
                    <w:r w:rsidRPr="00733FDE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Organics: upcoming initiative on import checks</w:t>
                    </w:r>
                  </w:hyperlink>
                </w:p>
                <w:p w14:paraId="6A472577" w14:textId="77777777" w:rsidR="00733FDE" w:rsidRPr="00733FDE" w:rsidRDefault="00733FDE" w:rsidP="00116F88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upcoming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initiative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-risk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organic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in-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conversion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–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checks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-EU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countries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certified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organic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considered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-risk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their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involvement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major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critical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repetitive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cases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non-compliance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initiative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makes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possible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subject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suspicions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such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non-compliance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-risk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subject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stricter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checks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46752AA2" w14:textId="77777777" w:rsidR="00733FDE" w:rsidRPr="00733FDE" w:rsidRDefault="00733FDE" w:rsidP="00116F88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Feedback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period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: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upcoming</w:t>
                  </w:r>
                  <w:proofErr w:type="spellEnd"/>
                </w:p>
                <w:p w14:paraId="17F171FB" w14:textId="77777777" w:rsidR="00733FDE" w:rsidRPr="00733FDE" w:rsidRDefault="00733FDE" w:rsidP="00116F88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Planned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econd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quarter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</w:t>
                  </w:r>
                </w:p>
                <w:p w14:paraId="24AE5798" w14:textId="77777777" w:rsidR="00733FDE" w:rsidRDefault="00733FDE" w:rsidP="00116F88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41" w:history="1"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https://ec.europa.eu/info/law/better-regulation/have-your-say/initiatives/14595-High-risk-organic-and-in-conversion-products-import-checks-amendment-_en</w:t>
                    </w:r>
                  </w:hyperlink>
                </w:p>
                <w:p w14:paraId="45F7160A" w14:textId="77777777" w:rsidR="00116F88" w:rsidRPr="00733FDE" w:rsidRDefault="00116F88" w:rsidP="00116F88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27B15A6C" w14:textId="77777777" w:rsidR="00733FDE" w:rsidRPr="00733FDE" w:rsidRDefault="00733FDE" w:rsidP="00116F88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42" w:history="1">
                    <w:r w:rsidRPr="00733FDE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Pesticides: EFSA conclusion on meptyldinocap MRL for grapes</w:t>
                    </w:r>
                  </w:hyperlink>
                </w:p>
                <w:p w14:paraId="59E6B77A" w14:textId="77777777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EFSA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conclusion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evaluation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confirmatory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Article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12 MRL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review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meptyldinocap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(DE</w:t>
                  </w:r>
                  <w:r w:rsidRPr="00733FDE">
                    <w:rPr>
                      <w:rFonts w:ascii="Cambria Math" w:eastAsia="Times New Roman" w:hAnsi="Cambria Math" w:cs="Cambria Math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‐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126)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modification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existing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maximum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table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wine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grapes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address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gaps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identified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framework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MRL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review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(EFSA, 2020),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new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storage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stability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study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acid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commodities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meptyldinocap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metabolite 2,4 DNOP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new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trials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table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wine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grapes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submitted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Furthermore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new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trials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grapes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when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combined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trials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MRL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review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indicated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MRL of </w:t>
                  </w:r>
                  <w:proofErr w:type="gram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0.4</w:t>
                  </w:r>
                  <w:proofErr w:type="gram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mg/kg (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MRL is 0.2)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would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support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outdoor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meptyldinocap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table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wine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grapes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03199FC9" w14:textId="77777777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Meptyldinocap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been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detected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FRUCOM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dried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grapes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09139B0B" w14:textId="77777777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43" w:history="1"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https://efsa.onlinelibrary.wiley.com/doi/epdf/10.2903/j.efsa.2025.9309</w:t>
                    </w:r>
                  </w:hyperlink>
                </w:p>
                <w:p w14:paraId="78B80CD2" w14:textId="77777777" w:rsidR="00675737" w:rsidRDefault="00675737" w:rsidP="0067573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50AF637E" w14:textId="1C4AB2BF" w:rsidR="00733FDE" w:rsidRPr="00733FDE" w:rsidRDefault="00733FDE" w:rsidP="0067573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44" w:history="1">
                    <w:r w:rsidRPr="00733FDE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Pesticides: US comments on EU MRLs for neonics</w:t>
                    </w:r>
                  </w:hyperlink>
                </w:p>
                <w:p w14:paraId="7388AA5E" w14:textId="77777777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submission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tolerances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pesticides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achieve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environmental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outcomes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third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countries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–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specific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534</w:t>
                  </w: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 US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remains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disappointed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's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lack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substantive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engagement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with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relating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2023/334,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reduced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neonicotinoid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insecticides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clothianidin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thiamethoxam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environmental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reasons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associated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agricultural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third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countries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Clothianidin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thiamethoxam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critically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important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crops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exported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WTO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urges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consider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CFCD0EE" w14:textId="77777777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45" w:history="1"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https://docs.wto.org/dol2fe/Pages/SS/directdoc.aspx?filename=Q:/G/SPS/GEN2305.pdf&amp;Open=True</w:t>
                    </w:r>
                  </w:hyperlink>
                </w:p>
                <w:p w14:paraId="69E8332B" w14:textId="77777777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similar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submission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thiacloprid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0BFFEA5E" w14:textId="77777777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Link: </w:t>
                  </w:r>
                  <w:hyperlink r:id="rId46" w:history="1"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https://docs.wto.org/dol2fe/Pages/SS/directdoc.aspx?filename=Q</w:t>
                    </w:r>
                  </w:hyperlink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:/G/SPS/GEN2306.pdf&amp;Open=True</w:t>
                  </w:r>
                </w:p>
                <w:p w14:paraId="2E725A2E" w14:textId="77777777" w:rsidR="00675737" w:rsidRDefault="00675737" w:rsidP="0067573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5DD9DCA4" w14:textId="47D0C069" w:rsidR="00733FDE" w:rsidRPr="00733FDE" w:rsidRDefault="00733FDE" w:rsidP="0067573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47" w:history="1">
                    <w:r w:rsidRPr="00733FDE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Pesticides: US coments on EU's ED criterias</w:t>
                    </w:r>
                  </w:hyperlink>
                </w:p>
                <w:p w14:paraId="09F27897" w14:textId="77777777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submission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 EU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legislation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endocrine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disruptors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–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specific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382</w:t>
                  </w: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urges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scientific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justification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MRL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reductions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–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justification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specific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health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risks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consumers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not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merely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hazard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identification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Additionally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EU's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hazard-based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cut-off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criteria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endocrine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disrupting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properties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 396/2005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governing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establishment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pesticide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3608F9BF" w14:textId="77777777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48" w:history="1"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https://docs.wto.org/dol2fe/Pages/SS/directdoc.aspx?filename=Q:/G/SPS/GEN2311.pdf&amp;Open=True</w:t>
                    </w:r>
                  </w:hyperlink>
                </w:p>
                <w:p w14:paraId="6980459C" w14:textId="77777777" w:rsidR="00675737" w:rsidRDefault="00675737" w:rsidP="0067573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70F7E70A" w14:textId="73FA6EF9" w:rsidR="00733FDE" w:rsidRPr="00733FDE" w:rsidRDefault="00733FDE" w:rsidP="0067573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49" w:history="1">
                    <w:r w:rsidRPr="00733FDE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Pesticides: US statement regarding EU MRLs, including dithiocarbamates</w:t>
                    </w:r>
                  </w:hyperlink>
                </w:p>
                <w:p w14:paraId="7167558E" w14:textId="77777777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WTO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submission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specific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448: EU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alpha-cypermethrin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buprofezin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chlorothalonil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chlorpyrifos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chlorpyrifos-methyl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cypermethrin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diflubenzuron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ethoxysulfuron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glufosinate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imazalil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ioxynil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iprodione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mancozeb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molinate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picoxystrobin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tepraloxydim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reiterates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request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align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Codex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rather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lowering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LOQ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LOD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when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EFSA is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unable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finalize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full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risk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assessment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G/SPS/N/EU/788 on MRL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reductions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dithiocarbamates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mancozeb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United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requests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reconsider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mancozeb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MRL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reductions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agricultural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walnuts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United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further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requests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mancozeb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MRL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walnuts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maintained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36-month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transition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period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granted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allow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considered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tolerance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continues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ask</w:t>
                  </w:r>
                  <w:proofErr w:type="gram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consider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flexible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approaches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enforcement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changes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Specifically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requested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extend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transition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periods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 has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established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without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completing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risk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assessment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identifies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specific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risks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consumers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244A0A38" w14:textId="77777777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More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50" w:history="1"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https://docs.wto.org/dol2fe/Pages/SS/directdoc.aspx?filename=Q:/G/SPS/GEN2304.pdf&amp;Open=True</w:t>
                    </w:r>
                  </w:hyperlink>
                </w:p>
                <w:p w14:paraId="5CF6E1F7" w14:textId="77777777" w:rsidR="00675737" w:rsidRDefault="00675737" w:rsidP="0067573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34ABD1F5" w14:textId="78FB54F3" w:rsidR="00733FDE" w:rsidRPr="00733FDE" w:rsidRDefault="00733FDE" w:rsidP="0067573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51" w:history="1">
                    <w:r w:rsidRPr="00733FDE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Contaminants: Environment Agency mycotoxin briefing</w:t>
                    </w:r>
                  </w:hyperlink>
                </w:p>
                <w:p w14:paraId="3EA26EB5" w14:textId="77777777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Environment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Agency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briefing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exposure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changing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climate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 A Horizon 2020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project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hyperlink r:id="rId52" w:history="1"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HBM4EU</w:t>
                    </w:r>
                  </w:hyperlink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concentrations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chemicals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our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bodies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showed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14%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adult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population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Europe is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exposed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deoxynivalenol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(DON)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harm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health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exposure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via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different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routes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: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occupational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exposure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 DON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ZEN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human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health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environmental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safety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ZEN is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potential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endocrine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disruptor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it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mimics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estrogen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causing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reproductive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issues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humans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animals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OTA,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considered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post-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harvest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has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been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linked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kidney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damage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cancer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especially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populations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exposed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via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drinking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water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Post-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harvest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crop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after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harvest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involves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cooling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cleaning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sorting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packing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steps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prevent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deterioration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87DF343" w14:textId="77777777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Evidence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suggests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groups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at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risk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exposure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Young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children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(1 – 3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years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old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infants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12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months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old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especially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vulnerable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their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intake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relative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body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weight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12EA458F" w14:textId="77777777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main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source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exposure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through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diet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mainly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eating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contaminated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studies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suggest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approximately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25%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crops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exceed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regulatory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limits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contamination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can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occur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above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detectable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limits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up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60-80%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crops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407B27EF" w14:textId="77777777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Climate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change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can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change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fungal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distribution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thus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increasing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human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exposure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some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exacerbating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their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impacts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health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geographical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perspective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highest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risk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climate-change-induced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contamination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expected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developed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countries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moderate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climates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like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AF, DON, ZEN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OTA,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expected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become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prevalent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temperatures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humid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conditions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because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humidity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spurs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growth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fungi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responsible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4FB7E360" w14:textId="77777777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53" w:history="1"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https://www.eea.europa.eu/en/analysis/publications/mycotoxin-exposure-in-a-changing-european-climate</w:t>
                    </w:r>
                  </w:hyperlink>
                </w:p>
                <w:p w14:paraId="069C86B6" w14:textId="77777777" w:rsidR="00675737" w:rsidRDefault="00675737" w:rsidP="0067573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36158358" w14:textId="0647ABF5" w:rsidR="00733FDE" w:rsidRPr="00733FDE" w:rsidRDefault="00733FDE" w:rsidP="0067573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54" w:history="1">
                    <w:r w:rsidRPr="00733FDE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Contaminants: AGRI committee discussion on mycotoxins</w:t>
                    </w:r>
                  </w:hyperlink>
                </w:p>
                <w:p w14:paraId="725C8D06" w14:textId="77777777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Committee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Agriculture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Rural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Development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held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ordinary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27, 2025. An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important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item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agenda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discussion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Environment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Agency's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briefing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exposure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changing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climate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39B1903" w14:textId="77777777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Frans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Verstraete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DG SANTE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explained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significance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particularly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context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climate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change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He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presence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ensure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standard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health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both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animals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humans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has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established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maximum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allowable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11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different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monitoring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recommendations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several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limits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scientific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assessments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conducted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EFSA.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findings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EFSA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Environmental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Agency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indicate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could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potential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risks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human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animal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health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maintains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close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communication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regularly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invites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along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stakeholder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organizations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occurrence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lead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adjustments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allowable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if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deemed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necessary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01B6F6A" w14:textId="77777777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Parliament's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AGRI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committee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expressed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strong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support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address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dangers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Dutch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MEP Bert-Jan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Ruissen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representing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ECR,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emphasized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importance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prevention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preventative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climate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change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Czech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euro-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deputy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Ivan David (ESN)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raised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about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potential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crops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Ukraine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Benoit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Cassart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Renew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BE)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questioned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whether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organic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farming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might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affected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conventional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farming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478E21DB" w14:textId="77777777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DG SANTE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responded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presence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crops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influenced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multiple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factors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He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mentioned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development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new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crop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varieties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resistant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tolerant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fungi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could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serve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long-term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solution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He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insecticides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might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help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minimize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they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sole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solution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Importantly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he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clarified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organic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crops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necessarily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higher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risk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contamination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Although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organic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favorable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environment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fungal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growth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does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automatically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result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increased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production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as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mycotoxins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develop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when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fungi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exposed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specific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stressors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C0A79BE" w14:textId="77777777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55" w:history="1"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https://multimedia.europarl.europa.eu/en/webstreaming/committee-on-agriculture-and-rural-development-ordinary-meeting_20250327-0900-COMMITTEE-AGRI</w:t>
                    </w:r>
                  </w:hyperlink>
                </w:p>
                <w:p w14:paraId="38ED726C" w14:textId="39851096" w:rsidR="00733FDE" w:rsidRPr="00733FDE" w:rsidRDefault="00675737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56" w:history="1">
                    <w:r w:rsidRPr="00733FDE">
                      <w:rPr>
                        <w:rStyle w:val="Kpr"/>
                        <w:rFonts w:ascii="Arial" w:eastAsia="Times New Roman" w:hAnsi="Arial" w:cs="Arial"/>
                        <w:kern w:val="0"/>
                        <w:sz w:val="24"/>
                        <w:szCs w:val="24"/>
                        <w:lang w:eastAsia="tr-TR"/>
                        <w14:ligatures w14:val="none"/>
                      </w:rPr>
                      <w:t>https://frucom.eu/product/5291-contaminants-environment-agency-mycotoxin-briefing.html</w:t>
                    </w:r>
                  </w:hyperlink>
                  <w:r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</w:p>
                <w:p w14:paraId="084B7194" w14:textId="77777777" w:rsidR="00733FDE" w:rsidRPr="00733FDE" w:rsidRDefault="00733FDE" w:rsidP="00733FDE">
                  <w:pPr>
                    <w:spacing w:after="12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</w:p>
                <w:p w14:paraId="5150F429" w14:textId="77777777" w:rsidR="00733FDE" w:rsidRPr="00733FDE" w:rsidRDefault="00733FDE" w:rsidP="0067573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57" w:history="1">
                    <w:r w:rsidRPr="00733FDE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RASFF NOTIFICATION: 2025/14 (31/03/</w:t>
                    </w:r>
                    <w:proofErr w:type="gramStart"/>
                    <w:r w:rsidRPr="00733FDE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2025 -</w:t>
                    </w:r>
                    <w:proofErr w:type="gramEnd"/>
                    <w:r w:rsidRPr="00733FDE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06/04/2025)</w:t>
                    </w:r>
                  </w:hyperlink>
                </w:p>
                <w:p w14:paraId="29B3A7FB" w14:textId="77777777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Please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find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below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FRUCOM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compiling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RASFF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notifications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week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2025/14 (31/03/</w:t>
                  </w:r>
                  <w:proofErr w:type="gram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2025 -</w:t>
                  </w:r>
                  <w:proofErr w:type="gram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06/04/2025).</w:t>
                  </w:r>
                </w:p>
                <w:p w14:paraId="6C400EEA" w14:textId="77777777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Information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RASFF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notifications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DG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SANTE’s</w:t>
                  </w:r>
                  <w:proofErr w:type="spellEnd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online </w:t>
                  </w:r>
                  <w:proofErr w:type="spellStart"/>
                  <w:r w:rsidRPr="00733FDE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database</w:t>
                  </w:r>
                  <w:proofErr w:type="spellEnd"/>
                </w:p>
                <w:p w14:paraId="708912D4" w14:textId="77777777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58" w:history="1"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FRUCOMRASFF2025</w:t>
                    </w:r>
                    <w:r w:rsidRPr="00733FDE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_Week14</w:t>
                    </w:r>
                  </w:hyperlink>
                  <w:hyperlink r:id="rId59" w:history="1">
                    <w:r w:rsidRPr="00733FDE">
                      <w:rPr>
                        <w:rFonts w:ascii="Arial" w:eastAsia="Times New Roman" w:hAnsi="Arial" w:cs="Arial"/>
                        <w:color w:val="2D2D38"/>
                        <w:kern w:val="0"/>
                        <w:sz w:val="24"/>
                        <w:szCs w:val="24"/>
                        <w:bdr w:val="none" w:sz="0" w:space="0" w:color="auto" w:frame="1"/>
                        <w:lang w:eastAsia="tr-TR"/>
                        <w14:ligatures w14:val="none"/>
                      </w:rPr>
                      <w:br/>
                    </w:r>
                  </w:hyperlink>
                </w:p>
                <w:p w14:paraId="55A4378A" w14:textId="33C2BFB5" w:rsidR="00733FDE" w:rsidRPr="00733FDE" w:rsidRDefault="00733FDE" w:rsidP="006757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</w:tbl>
          <w:p w14:paraId="76334243" w14:textId="77777777" w:rsidR="00733FDE" w:rsidRPr="00733FDE" w:rsidRDefault="00733FDE" w:rsidP="00733FD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D2D38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2DF54CA5" w14:textId="77777777" w:rsidR="00127B77" w:rsidRPr="00733FDE" w:rsidRDefault="00127B77" w:rsidP="00733FDE">
      <w:pPr>
        <w:spacing w:after="120" w:line="240" w:lineRule="auto"/>
        <w:jc w:val="both"/>
        <w:rPr>
          <w:sz w:val="24"/>
          <w:szCs w:val="24"/>
        </w:rPr>
      </w:pPr>
    </w:p>
    <w:sectPr w:rsidR="00127B77" w:rsidRPr="00733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66C73"/>
    <w:multiLevelType w:val="multilevel"/>
    <w:tmpl w:val="9FDC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1728E"/>
    <w:multiLevelType w:val="multilevel"/>
    <w:tmpl w:val="DE06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A2DEB"/>
    <w:multiLevelType w:val="multilevel"/>
    <w:tmpl w:val="A35E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90933"/>
    <w:multiLevelType w:val="multilevel"/>
    <w:tmpl w:val="372C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C1DF8"/>
    <w:multiLevelType w:val="multilevel"/>
    <w:tmpl w:val="E1CA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E100E"/>
    <w:multiLevelType w:val="multilevel"/>
    <w:tmpl w:val="14D2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6327739">
    <w:abstractNumId w:val="3"/>
  </w:num>
  <w:num w:numId="2" w16cid:durableId="1774282222">
    <w:abstractNumId w:val="4"/>
  </w:num>
  <w:num w:numId="3" w16cid:durableId="1617786128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 w16cid:durableId="775831663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" w16cid:durableId="158615839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 w16cid:durableId="71437910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 w16cid:durableId="2034651476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1051424494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 w16cid:durableId="1919436174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0" w16cid:durableId="1364096026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" w16cid:durableId="119492535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2" w16cid:durableId="1704788701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 w16cid:durableId="2109110577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4" w16cid:durableId="714894335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5" w16cid:durableId="1859005581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6" w16cid:durableId="857894827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7" w16cid:durableId="531957880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8" w16cid:durableId="2013486851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 w16cid:durableId="1601909871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0" w16cid:durableId="1124426475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1" w16cid:durableId="152524899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2" w16cid:durableId="863909346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3" w16cid:durableId="978799908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4" w16cid:durableId="498037448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5" w16cid:durableId="684675450">
    <w:abstractNumId w:val="0"/>
  </w:num>
  <w:num w:numId="26" w16cid:durableId="614335323">
    <w:abstractNumId w:val="2"/>
  </w:num>
  <w:num w:numId="27" w16cid:durableId="815682711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8" w16cid:durableId="1860005685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9" w16cid:durableId="1428884532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0" w16cid:durableId="1391924581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 w16cid:durableId="2135100683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2" w16cid:durableId="1924948847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3" w16cid:durableId="223681184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4" w16cid:durableId="1384215190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5" w16cid:durableId="1929389431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6" w16cid:durableId="1447387412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7" w16cid:durableId="406198308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8" w16cid:durableId="1310475511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9" w16cid:durableId="919220746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0" w16cid:durableId="711535351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1" w16cid:durableId="1969892423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2" w16cid:durableId="2121682906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3" w16cid:durableId="498235282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4" w16cid:durableId="1325737372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5" w16cid:durableId="939415955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6" w16cid:durableId="2038776270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7" w16cid:durableId="1163861913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8" w16cid:durableId="2060546528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9" w16cid:durableId="1228616602">
    <w:abstractNumId w:val="5"/>
  </w:num>
  <w:num w:numId="50" w16cid:durableId="1871915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2"/>
    <w:rsid w:val="0001538D"/>
    <w:rsid w:val="000D39E6"/>
    <w:rsid w:val="000E2EE4"/>
    <w:rsid w:val="000E57B9"/>
    <w:rsid w:val="00106D46"/>
    <w:rsid w:val="00116D7D"/>
    <w:rsid w:val="00116F88"/>
    <w:rsid w:val="00122420"/>
    <w:rsid w:val="00127B77"/>
    <w:rsid w:val="00131D07"/>
    <w:rsid w:val="00185F3F"/>
    <w:rsid w:val="00192520"/>
    <w:rsid w:val="001C4D28"/>
    <w:rsid w:val="001C54E5"/>
    <w:rsid w:val="001D2098"/>
    <w:rsid w:val="001E31E6"/>
    <w:rsid w:val="00233D2D"/>
    <w:rsid w:val="00254D41"/>
    <w:rsid w:val="00275EDD"/>
    <w:rsid w:val="0028480F"/>
    <w:rsid w:val="00294A35"/>
    <w:rsid w:val="002B4238"/>
    <w:rsid w:val="002C79CD"/>
    <w:rsid w:val="003644B1"/>
    <w:rsid w:val="00376CB0"/>
    <w:rsid w:val="003879E5"/>
    <w:rsid w:val="003A6B2F"/>
    <w:rsid w:val="003B550D"/>
    <w:rsid w:val="00433DD7"/>
    <w:rsid w:val="004B4026"/>
    <w:rsid w:val="004C6816"/>
    <w:rsid w:val="004E0B97"/>
    <w:rsid w:val="004E2CB6"/>
    <w:rsid w:val="00500B03"/>
    <w:rsid w:val="00501CFE"/>
    <w:rsid w:val="00556075"/>
    <w:rsid w:val="00563B5B"/>
    <w:rsid w:val="005C5DF0"/>
    <w:rsid w:val="005D644F"/>
    <w:rsid w:val="00601DBD"/>
    <w:rsid w:val="00675737"/>
    <w:rsid w:val="006E7672"/>
    <w:rsid w:val="006F628B"/>
    <w:rsid w:val="00713DC0"/>
    <w:rsid w:val="00717AF8"/>
    <w:rsid w:val="00727691"/>
    <w:rsid w:val="00733FDE"/>
    <w:rsid w:val="00757BFD"/>
    <w:rsid w:val="00780290"/>
    <w:rsid w:val="00780D8C"/>
    <w:rsid w:val="007A4E2A"/>
    <w:rsid w:val="007D3768"/>
    <w:rsid w:val="007D7670"/>
    <w:rsid w:val="00800822"/>
    <w:rsid w:val="00813BB1"/>
    <w:rsid w:val="008161CF"/>
    <w:rsid w:val="00822D62"/>
    <w:rsid w:val="00861B8C"/>
    <w:rsid w:val="008800BE"/>
    <w:rsid w:val="00885EA8"/>
    <w:rsid w:val="00893CB9"/>
    <w:rsid w:val="00897A36"/>
    <w:rsid w:val="008B6985"/>
    <w:rsid w:val="008C1C5F"/>
    <w:rsid w:val="008D4FD2"/>
    <w:rsid w:val="008E3389"/>
    <w:rsid w:val="008F101B"/>
    <w:rsid w:val="00936112"/>
    <w:rsid w:val="00956006"/>
    <w:rsid w:val="009A7670"/>
    <w:rsid w:val="009B1DDC"/>
    <w:rsid w:val="009C35FE"/>
    <w:rsid w:val="009F41D0"/>
    <w:rsid w:val="009F557B"/>
    <w:rsid w:val="00A42881"/>
    <w:rsid w:val="00A6152C"/>
    <w:rsid w:val="00A80501"/>
    <w:rsid w:val="00AA37D3"/>
    <w:rsid w:val="00AA63B8"/>
    <w:rsid w:val="00AB4D5A"/>
    <w:rsid w:val="00AF5CE2"/>
    <w:rsid w:val="00B10B49"/>
    <w:rsid w:val="00B63CB6"/>
    <w:rsid w:val="00B674F7"/>
    <w:rsid w:val="00B83026"/>
    <w:rsid w:val="00B96B06"/>
    <w:rsid w:val="00BC7EC4"/>
    <w:rsid w:val="00BD1A43"/>
    <w:rsid w:val="00C073AC"/>
    <w:rsid w:val="00C13E7E"/>
    <w:rsid w:val="00C16239"/>
    <w:rsid w:val="00C22A6B"/>
    <w:rsid w:val="00C365E6"/>
    <w:rsid w:val="00C5603A"/>
    <w:rsid w:val="00C91A48"/>
    <w:rsid w:val="00C96065"/>
    <w:rsid w:val="00CA2F90"/>
    <w:rsid w:val="00CC0F75"/>
    <w:rsid w:val="00CC3E10"/>
    <w:rsid w:val="00CC656E"/>
    <w:rsid w:val="00CD3BBD"/>
    <w:rsid w:val="00CE4402"/>
    <w:rsid w:val="00CF3FE4"/>
    <w:rsid w:val="00D00CB6"/>
    <w:rsid w:val="00D0455A"/>
    <w:rsid w:val="00D05E99"/>
    <w:rsid w:val="00D36EB8"/>
    <w:rsid w:val="00D44072"/>
    <w:rsid w:val="00D4682C"/>
    <w:rsid w:val="00D70769"/>
    <w:rsid w:val="00D94E3F"/>
    <w:rsid w:val="00DA0829"/>
    <w:rsid w:val="00DA1C45"/>
    <w:rsid w:val="00DD6F7F"/>
    <w:rsid w:val="00DE4F12"/>
    <w:rsid w:val="00E4174E"/>
    <w:rsid w:val="00E43F37"/>
    <w:rsid w:val="00EB6DE9"/>
    <w:rsid w:val="00EE0DF5"/>
    <w:rsid w:val="00EF657A"/>
    <w:rsid w:val="00F02F76"/>
    <w:rsid w:val="00FC2C48"/>
    <w:rsid w:val="00FE093F"/>
    <w:rsid w:val="00FE2CF3"/>
    <w:rsid w:val="00FF0B98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8CF4"/>
  <w15:chartTrackingRefBased/>
  <w15:docId w15:val="{E0A7C2A7-1311-40ED-AC3F-62C26539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E4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E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E4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E4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E4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E4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E4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E4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4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E4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E4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E4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E4F1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E4F1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E4F1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E4F1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E4F1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E4F1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E4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E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E4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E4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E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E4F1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E4F1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E4F1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E4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E4F1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E4F12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A2F90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A2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69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38965067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86038814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  <w:divsChild>
            <w:div w:id="18510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79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37130056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26096619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36367436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21824946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91832179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00874886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17514925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36421378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56141148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91812706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6608128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71870091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63879896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77347081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</w:divsChild>
    </w:div>
    <w:div w:id="896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1868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5636580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83687208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9045441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156385715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60264740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9903055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82512173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956927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377173009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4306181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517233668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076582848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70520883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  <w:divsChild>
            <w:div w:id="1217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305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</w:divsChild>
    </w:div>
    <w:div w:id="1053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997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83267545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06506341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  <w:divsChild>
            <w:div w:id="3362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38639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76981044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23524226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42083582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46485595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9622927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42568853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86213317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5459464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961184858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95042842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824517635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53971256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17468466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32323910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</w:divsChild>
    </w:div>
    <w:div w:id="1287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481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669718579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55543269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  <w:divsChild>
            <w:div w:id="17303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508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41343068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70668260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06695358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123422185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53584472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77617149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98069510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5868338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94911708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70570928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85754626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77694428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101683798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83143559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</w:divsChild>
    </w:div>
    <w:div w:id="19617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https://frucom.eu/component/attachments/attachments.html?task=attachment&amp;id=2686" TargetMode="External"/><Relationship Id="rId39" Type="http://schemas.openxmlformats.org/officeDocument/2006/relationships/hyperlink" Target="https://www.europarl.europa.eu/news/en/press-room/20250331IPR27557/sustainability-and-due-diligence-meps-agree-to-delay-application-of-new-rules" TargetMode="External"/><Relationship Id="rId21" Type="http://schemas.openxmlformats.org/officeDocument/2006/relationships/hyperlink" Target="https://frucom.eu/component/attachments/attachments.html?task=attachment&amp;id=2682" TargetMode="External"/><Relationship Id="rId34" Type="http://schemas.openxmlformats.org/officeDocument/2006/relationships/hyperlink" Target="mailto:lmofolo@frucom.eu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https://docs.wto.org/dol2fe/Pages/SS/directdoc.aspx?filename=Q:/G/SPS/GEN2304.pdf&amp;Open=True" TargetMode="External"/><Relationship Id="rId55" Type="http://schemas.openxmlformats.org/officeDocument/2006/relationships/hyperlink" Target="https://multimedia.europarl.europa.eu/en/webstreaming/committee-on-agriculture-and-rural-development-ordinary-meeting_20250327-0900-COMMITTEE-AGRI" TargetMode="Externa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9" Type="http://schemas.openxmlformats.org/officeDocument/2006/relationships/hyperlink" Target="https://multimedia.europarl.europa.eu/en/webstreaming/committee-on-international-trade-ordinary-meeting_20250408-1600-COMMITTEE-INTA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https://ec.europa.eu/commission/presscorner/detail/en/speech_25_1001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https://docs.wto.org/dol2fe/Pages/SS/directdoc.aspx?filename=Q:/G/SPS/GEN2305.pdf&amp;Open=True" TargetMode="External"/><Relationship Id="rId53" Type="http://schemas.openxmlformats.org/officeDocument/2006/relationships/hyperlink" Target="https://www.eea.europa.eu/en/analysis/publications/mycotoxin-exposure-in-a-changing-european-climate" TargetMode="External"/><Relationship Id="rId58" Type="http://schemas.openxmlformats.org/officeDocument/2006/relationships/hyperlink" Target="https://frucom.eu/component/attachments/attachments.html?task=attachment&amp;id=2680" TargetMode="External"/><Relationship Id="rId5" Type="http://schemas.openxmlformats.org/officeDocument/2006/relationships/hyperlink" Target="javascript:void(0);" TargetMode="External"/><Relationship Id="rId61" Type="http://schemas.openxmlformats.org/officeDocument/2006/relationships/theme" Target="theme/theme1.xml"/><Relationship Id="rId1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https://frucom.eu/component/attachments/attachments.html?task=attachment&amp;id=2685" TargetMode="External"/><Relationship Id="rId27" Type="http://schemas.openxmlformats.org/officeDocument/2006/relationships/hyperlink" Target="https://www.gov.uk/government/publications/request-for-input-on-potential-uk-measures-in-response-to-us-tariffs" TargetMode="External"/><Relationship Id="rId30" Type="http://schemas.openxmlformats.org/officeDocument/2006/relationships/hyperlink" Target="https://www.whitehouse.gov/presidential-actions/2025/04/regulating-imports-with-a-reciprocal-tariff-to-rectify-trade-practices-that-contribute-to-large-and-persistent-annual-united-states-goods-trade-deficits" TargetMode="External"/><Relationship Id="rId35" Type="http://schemas.openxmlformats.org/officeDocument/2006/relationships/hyperlink" Target="mailto:aboulova@frucom.eu" TargetMode="External"/><Relationship Id="rId43" Type="http://schemas.openxmlformats.org/officeDocument/2006/relationships/hyperlink" Target="https://efsa.onlinelibrary.wiley.com/doi/epdf/10.2903/j.efsa.2025.9309" TargetMode="External"/><Relationship Id="rId48" Type="http://schemas.openxmlformats.org/officeDocument/2006/relationships/hyperlink" Target="https://docs.wto.org/dol2fe/Pages/SS/directdoc.aspx?filename=Q:/G/SPS/GEN2311.pdf&amp;Open=True" TargetMode="External"/><Relationship Id="rId56" Type="http://schemas.openxmlformats.org/officeDocument/2006/relationships/hyperlink" Target="https://frucom.eu/product/5291-contaminants-environment-agency-mycotoxin-briefing.html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https://frucom.eu/component/attachments/attachments.html?task=attachment&amp;id=2687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https://docs.wto.org/dol2fe/Pages/SS/directdoc.aspx?filename=Q" TargetMode="External"/><Relationship Id="rId59" Type="http://schemas.openxmlformats.org/officeDocument/2006/relationships/hyperlink" Target="https://frucom.eu/component/attachments/attachments.html?task=attachment&amp;id=2669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https://ec.europa.eu/info/law/better-regulation/have-your-say/initiatives/14595-High-risk-organic-and-in-conversion-products-import-checks-amendment-_en" TargetMode="External"/><Relationship Id="rId54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https://frucom.eu/component/attachments/attachments.html?task=attachment&amp;id=2688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31" Type="http://schemas.openxmlformats.org/officeDocument/2006/relationships/hyperlink" Target="https://www.consilium.europa.eu/en/meetings/fac/2025/04/07/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http://www.hbm4eu.eu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3988</Words>
  <Characters>22733</Characters>
  <Application>Microsoft Office Word</Application>
  <DocSecurity>0</DocSecurity>
  <Lines>189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 Turk</dc:creator>
  <cp:keywords/>
  <dc:description/>
  <cp:lastModifiedBy>Bilge Turk</cp:lastModifiedBy>
  <cp:revision>2</cp:revision>
  <dcterms:created xsi:type="dcterms:W3CDTF">2025-04-08T05:47:00Z</dcterms:created>
  <dcterms:modified xsi:type="dcterms:W3CDTF">2025-04-08T05:47:00Z</dcterms:modified>
</cp:coreProperties>
</file>