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30410" w:rsidRPr="00A30410" w14:paraId="0D2BDA57" w14:textId="77777777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0410" w:rsidRPr="00A30410" w14:paraId="37037A7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75D0757F" w14:textId="77777777" w:rsidR="00A30410" w:rsidRPr="00A30410" w:rsidRDefault="00A30410" w:rsidP="00A30410">
                  <w:pPr>
                    <w:spacing w:after="120" w:line="240" w:lineRule="auto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kern w:val="0"/>
                      <w14:ligatures w14:val="none"/>
                    </w:rPr>
                  </w:pPr>
                  <w:r w:rsidRPr="00A30410">
                    <w:rPr>
                      <w:rFonts w:ascii="Helvetica" w:eastAsia="Times New Roman" w:hAnsi="Helvetica" w:cs="Helvetica"/>
                      <w:b/>
                      <w:bCs/>
                      <w:caps/>
                      <w:kern w:val="0"/>
                      <w14:ligatures w14:val="none"/>
                    </w:rPr>
                    <w:br/>
                    <w:t>FRUCOM NEWSLETTER 11/05/2026</w:t>
                  </w:r>
                </w:p>
                <w:p w14:paraId="59387F4C" w14:textId="77777777" w:rsidR="00A30410" w:rsidRPr="00A30410" w:rsidRDefault="00A30410" w:rsidP="00A30410">
                  <w:pPr>
                    <w:numPr>
                      <w:ilvl w:val="0"/>
                      <w:numId w:val="112"/>
                    </w:num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FRUCOM ACTIVITIES</w:t>
                  </w:r>
                </w:p>
                <w:p w14:paraId="677871AE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5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Reminder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Doodle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FRUCOM online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Sustainability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</w:hyperlink>
                </w:p>
                <w:p w14:paraId="12AE0FB5" w14:textId="77777777" w:rsidR="00A30410" w:rsidRPr="00A30410" w:rsidRDefault="00A30410" w:rsidP="00A30410">
                  <w:pPr>
                    <w:numPr>
                      <w:ilvl w:val="0"/>
                      <w:numId w:val="112"/>
                    </w:num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ALL PRODUCTS</w:t>
                  </w:r>
                </w:p>
                <w:p w14:paraId="3A9D5105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6" w:history="1"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EU-US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Parliament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International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Chair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says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negotiations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could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conclude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19 May</w:t>
                    </w:r>
                  </w:hyperlink>
                </w:p>
                <w:p w14:paraId="403A047C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7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/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Member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States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Standing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Committee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proofErr w:type="gram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agenda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-</w:t>
                    </w:r>
                    <w:proofErr w:type="gram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Discussions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Mineral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Oils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(13 May)</w:t>
                    </w:r>
                  </w:hyperlink>
                </w:p>
                <w:p w14:paraId="0CCAD075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8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Antimicrobials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increased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controls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Standing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Committee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agenda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(12 May)</w:t>
                    </w:r>
                  </w:hyperlink>
                </w:p>
                <w:p w14:paraId="5BABCFF3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9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/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Member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States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Standing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Committee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agenda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(18-19 May)</w:t>
                    </w:r>
                  </w:hyperlink>
                </w:p>
                <w:p w14:paraId="69558700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10" w:history="1"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EU-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Mexico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Council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endorses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agreement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with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Mexico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/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frozen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strawberries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tuna</w:t>
                    </w:r>
                  </w:hyperlink>
                </w:p>
                <w:p w14:paraId="1128F028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11" w:history="1"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Organics/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nuts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fruit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prepared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fruit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vegetables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seafood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report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non-authorised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substances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organic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products</w:t>
                    </w:r>
                    <w:proofErr w:type="spellEnd"/>
                  </w:hyperlink>
                </w:p>
                <w:p w14:paraId="6A91EA3F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12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Official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controls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establishes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Member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State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expert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exchange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program</w:t>
                    </w:r>
                  </w:hyperlink>
                </w:p>
                <w:p w14:paraId="7AD46A2B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13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PFAS webinar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by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European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Chemicals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Agency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presentations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)</w:t>
                    </w:r>
                  </w:hyperlink>
                </w:p>
                <w:p w14:paraId="41F9FA6B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14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/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raisins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peppers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EFSA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publishes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2024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European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Union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report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residues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food</w:t>
                    </w:r>
                    <w:proofErr w:type="spellEnd"/>
                  </w:hyperlink>
                </w:p>
                <w:p w14:paraId="2E08AC05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kern w:val="0"/>
                      <w14:ligatures w14:val="none"/>
                    </w:rPr>
                  </w:pPr>
                  <w:hyperlink r:id="rId15" w:history="1"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RASFF NOTIFICATION: 2026/19 (04/05/</w:t>
                    </w:r>
                    <w:proofErr w:type="gramStart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A30410">
                      <w:rPr>
                        <w:rFonts w:ascii="Helvetica" w:eastAsia="Times New Roman" w:hAnsi="Helvetica" w:cs="Helvetica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10/05/2026)</w:t>
                    </w:r>
                  </w:hyperlink>
                </w:p>
                <w:p w14:paraId="1DBC0ACB" w14:textId="77777777" w:rsidR="00A30410" w:rsidRPr="00A30410" w:rsidRDefault="00A30410" w:rsidP="00A30410">
                  <w:pPr>
                    <w:numPr>
                      <w:ilvl w:val="0"/>
                      <w:numId w:val="112"/>
                    </w:num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DRIED FRUIT &amp; NUTS</w:t>
                  </w:r>
                </w:p>
                <w:p w14:paraId="51F6D274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6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Cranberries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DG TAXUD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Reply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FRUCOM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Industry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letter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End-Use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obligation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imports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cranberries</w:t>
                    </w:r>
                    <w:proofErr w:type="spellEnd"/>
                  </w:hyperlink>
                </w:p>
                <w:p w14:paraId="04F49BA3" w14:textId="77777777" w:rsidR="00A30410" w:rsidRPr="00A30410" w:rsidRDefault="00A30410" w:rsidP="00A30410">
                  <w:pPr>
                    <w:numPr>
                      <w:ilvl w:val="1"/>
                      <w:numId w:val="112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7" w:history="1"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Request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Member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Feedback: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European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project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map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EU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companies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Cashew</w:t>
                    </w:r>
                    <w:proofErr w:type="spellEnd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Value </w:t>
                    </w:r>
                    <w:proofErr w:type="spellStart"/>
                    <w:r w:rsidRPr="00A30410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Chain</w:t>
                    </w:r>
                    <w:proofErr w:type="spellEnd"/>
                  </w:hyperlink>
                </w:p>
              </w:tc>
            </w:tr>
            <w:tr w:rsidR="00A30410" w:rsidRPr="00A30410" w14:paraId="62A77C1A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7E985A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</w:p>
              </w:tc>
            </w:tr>
          </w:tbl>
          <w:p w14:paraId="4E50CF41" w14:textId="77777777" w:rsidR="00A30410" w:rsidRPr="00A30410" w:rsidRDefault="00A30410" w:rsidP="00A30410">
            <w:pPr>
              <w:spacing w:after="120" w:line="240" w:lineRule="auto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  <w:tr w:rsidR="00A30410" w:rsidRPr="00A30410" w14:paraId="34DE11D7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0410" w:rsidRPr="00A30410" w14:paraId="2489D6C6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63FA6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A30410" w:rsidRPr="00A30410" w14:paraId="3553C7A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7013ADA" w14:textId="77777777" w:rsidR="00A30410" w:rsidRPr="00A30410" w:rsidRDefault="00A30410" w:rsidP="00A30410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6"/>
                      <w:szCs w:val="26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6"/>
                      <w:szCs w:val="26"/>
                      <w14:ligatures w14:val="none"/>
                    </w:rPr>
                    <w:t>FRUCOM ACTIVITIES</w:t>
                  </w:r>
                </w:p>
                <w:p w14:paraId="653B9DA0" w14:textId="77777777" w:rsidR="00A30410" w:rsidRP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8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Reminder Doodle: FRUCOM online Sustainability Working Group meeting in June</w:t>
                    </w:r>
                  </w:hyperlink>
                </w:p>
                <w:p w14:paraId="3B1AFA90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indicated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doodle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link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Friday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22 May.</w:t>
                  </w:r>
                </w:p>
                <w:p w14:paraId="150B2E5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Monday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15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th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Tuesday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th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Wednesday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17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th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Monday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22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nd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Tuesday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23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rd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starting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16h30 CET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Brussels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time).</w:t>
                  </w:r>
                </w:p>
                <w:p w14:paraId="68FCC89E" w14:textId="0A2B83C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19" w:history="1">
                    <w:r w:rsidRPr="00852B30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https://doodle.com/group-poll/participate/bDZKMLye</w:t>
                    </w:r>
                  </w:hyperlink>
                </w:p>
                <w:p w14:paraId="44A94484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be:</w:t>
                  </w:r>
                </w:p>
                <w:p w14:paraId="2CB6641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&gt;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Play of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affecting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</w:p>
                <w:p w14:paraId="6C2B25B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</w:p>
                <w:p w14:paraId="4E52C960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</w:p>
                <w:p w14:paraId="5904574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Directive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Empowering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Transition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greenwashing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/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environmental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labelling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</w:t>
                  </w:r>
                </w:p>
                <w:p w14:paraId="1695B5E9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&gt; Exchange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concerns</w:t>
                  </w:r>
                  <w:proofErr w:type="spellEnd"/>
                </w:p>
                <w:p w14:paraId="0870611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&gt;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AOB :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AOB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secretariat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20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info@frucom.eu</w:t>
                    </w:r>
                  </w:hyperlink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/ </w:t>
                  </w:r>
                  <w:hyperlink r:id="rId21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lmofolo@frucom.eu</w:t>
                    </w:r>
                  </w:hyperlink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Friday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22 May.</w:t>
                  </w:r>
                </w:p>
                <w:p w14:paraId="5E43A3FA" w14:textId="77777777" w:rsidR="00A30410" w:rsidRDefault="00A30410" w:rsidP="00A30410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color w:val="FF8C00"/>
                      <w:kern w:val="0"/>
                      <w14:ligatures w14:val="none"/>
                    </w:rPr>
                  </w:pPr>
                </w:p>
                <w:p w14:paraId="5A48B692" w14:textId="7E715E82" w:rsidR="00A30410" w:rsidRPr="00A30410" w:rsidRDefault="00A30410" w:rsidP="00A30410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6"/>
                      <w:szCs w:val="26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6"/>
                      <w:szCs w:val="26"/>
                      <w14:ligatures w14:val="none"/>
                    </w:rPr>
                    <w:t>ALL PRODUCTS</w:t>
                  </w:r>
                </w:p>
                <w:p w14:paraId="3290E05F" w14:textId="77777777" w:rsidR="00A30410" w:rsidRP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2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EU-US Trade: EU Parliament International Trade Chair says negotiations could conclude on 19 May</w:t>
                    </w:r>
                  </w:hyperlink>
                </w:p>
                <w:p w14:paraId="7AFC7479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8 May,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Parliament’s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Chair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International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Bernd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Lange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released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response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President’s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Donald Trump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announcement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4th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so-called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"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Turnberry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,"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reached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Otherwise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he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threatened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20D4F9A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Lange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“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Negotiations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between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have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made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significant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progress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week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. I am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confident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that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we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can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conclude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process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on May 19: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conviction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accordance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our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democratic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processes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procedures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We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doing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utmost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care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also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swiftly.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”</w:t>
                  </w:r>
                </w:p>
                <w:p w14:paraId="13B39459" w14:textId="7E42096E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3" w:history="1">
                    <w:r w:rsidRPr="00852B30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https://bernd-lange.de/meldungen/drohungen-aus-washington-klarer-kurs-aus-bruessel</w:t>
                    </w:r>
                  </w:hyperlink>
                </w:p>
                <w:p w14:paraId="6B4EE62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largest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political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People's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issued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calling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“swift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US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deliver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businesses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”</w:t>
                  </w:r>
                </w:p>
                <w:p w14:paraId="4CE085D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second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round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EU-US “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Turnberry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”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representatives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Željana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Zovko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MEP,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EPP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Group’s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MEP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said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talks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already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delivered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but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stronger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efforts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reach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swift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C7B65F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24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https://www.eppgroup.eu/newsroom/epp-group-calls-for-conclusion-of-the-us-trade-deal</w:t>
                    </w:r>
                  </w:hyperlink>
                </w:p>
                <w:p w14:paraId="0D4724D4" w14:textId="77777777" w:rsid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</w:p>
                <w:p w14:paraId="52507282" w14:textId="3E31884F" w:rsidR="00A30410" w:rsidRP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5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Contaminants: Commission/Member States Standing Committee meeting </w:t>
                    </w:r>
                    <w:proofErr w:type="gramStart"/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agenda -</w:t>
                    </w:r>
                    <w:proofErr w:type="gramEnd"/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Discussions on Mineral Oils (13 May)</w:t>
                    </w:r>
                  </w:hyperlink>
                </w:p>
                <w:p w14:paraId="7345C26F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Animals, Food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Novel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Toxicological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(SCOPAFF)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13 May 2026.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selection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items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56411B0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B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(s)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presented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</w:p>
                <w:p w14:paraId="1AB6BB6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B.01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2023/915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mineral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aromatic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hydrocarbons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(PLAN/2023/2345)</w:t>
                  </w:r>
                </w:p>
                <w:p w14:paraId="6F3F37ED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B.02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(EC) No 333/2007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analysis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mineral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hydrocarbons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foodstuffs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(PLAN/2023/2726)</w:t>
                  </w:r>
                </w:p>
                <w:p w14:paraId="6751681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26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https://food.ec.europa.eu/document/download/3e438015-3777-453e-8172-8288fcae2427_en?filename=reg-com_toxic_20260513_agenda.pdf</w:t>
                    </w:r>
                  </w:hyperlink>
                </w:p>
                <w:p w14:paraId="65D6894B" w14:textId="77777777" w:rsid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11FEFF19" w14:textId="7D5CA297" w:rsidR="00A30410" w:rsidRP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7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Antimicrobials and increased controls: Standing Committee meeting agenda (12 May)</w:t>
                    </w:r>
                  </w:hyperlink>
                </w:p>
                <w:p w14:paraId="7E8D2B2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Animals, Food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Conditions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(SCOPAFF)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12 May.</w:t>
                  </w:r>
                </w:p>
                <w:p w14:paraId="08BCBB6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items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4B6D2DD0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B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(s)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presented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</w:p>
                <w:p w14:paraId="3683598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B.02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2021/405 as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restrictions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prohibition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antimicrobial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medicinal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repealing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2024/2598. (AVO) (PLAN/248/2026)</w:t>
                  </w:r>
                </w:p>
                <w:p w14:paraId="680E8F7E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B.03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2019/1793 as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temporary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emergency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governing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 (IC)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2019/1793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temporary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emergency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governing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2017/625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(EC) No 178/2002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(PLAN/492/2026)</w:t>
                  </w:r>
                </w:p>
                <w:p w14:paraId="11A3D3D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28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https://food.ec.europa.eu/document/download/3297f8de-9fb8-4cb3-8439-7465a0fd7357_en?filename=reg-com_cic_20260512_agenda.pdf</w:t>
                    </w:r>
                  </w:hyperlink>
                </w:p>
                <w:p w14:paraId="178BB5C0" w14:textId="77777777" w:rsid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06BDD026" w14:textId="77777777" w:rsidR="00AA2A34" w:rsidRDefault="00AA2A34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761922CD" w14:textId="725DE79F" w:rsidR="00A30410" w:rsidRP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9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Commission/Member States Standing Committee meeting agenda (18-19 May)</w:t>
                    </w:r>
                  </w:hyperlink>
                </w:p>
                <w:p w14:paraId="3D59017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Animals, Food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Phytopharmaceuticals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(SCOPAFF)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18 -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19 May 2026.</w:t>
                  </w:r>
                </w:p>
                <w:p w14:paraId="1A99265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items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0060ACBA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Section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B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(s)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presented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an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</w:p>
                <w:p w14:paraId="17CF1C3C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B.01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acequinocyl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deltamethrin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dodine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maleic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hydrazide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pinoxaden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prothioconazole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(PLAN/2025/3053)</w:t>
                  </w:r>
                </w:p>
                <w:p w14:paraId="7F7AFA4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(top 10/30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2025):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deltamethrin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prothioconazole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30.</w:t>
                  </w:r>
                </w:p>
                <w:p w14:paraId="2BE0146C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deltamethrin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dodine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prothioconazole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E7C39BE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acequinocyl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maleic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hydrazide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pinoxaden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EC004F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B.02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396/2005 of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ametoctradin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cyflumetofen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diflufenican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milbemectin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(PLAN/2026/701)</w:t>
                  </w:r>
                </w:p>
                <w:p w14:paraId="778A5FFF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ametoctradin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 </w:t>
                  </w:r>
                </w:p>
                <w:p w14:paraId="1291C0A9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cyflumetofen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diflufenican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milbemectin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C98D32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B.03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azoxystrobin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etofenprox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fenpropidin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flupyradifurone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hexythiazox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imazalil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spinosad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tebufenozide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(PLAN/2025/2744)</w:t>
                  </w:r>
                </w:p>
                <w:p w14:paraId="0DE9957A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(top 10/30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2025):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Flupyradifurone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Top10,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azoxystrobin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top30.</w:t>
                  </w:r>
                </w:p>
                <w:p w14:paraId="55182B2E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azoxystrobin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fenpropidrin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hexythiazox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imazalil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B3D76F4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etofenprox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spinosad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tebufenozide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009300E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B.04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 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difenoconazole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(PLAN/2024/2476)</w:t>
                  </w:r>
                </w:p>
                <w:p w14:paraId="1B85528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 xml:space="preserve">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related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mainly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4BB6C1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B.05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 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alpha-cypermethrin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cypermethrin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(PLAN/2023/1863)</w:t>
                  </w:r>
                </w:p>
                <w:p w14:paraId="052E9BE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Cypermethrin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10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</w:t>
                  </w:r>
                </w:p>
                <w:p w14:paraId="681FB5D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38F2F6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Section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C</w:t>
                  </w:r>
                </w:p>
                <w:p w14:paraId="471959E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(s)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presented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discussion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C.01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II, III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V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azocyclotin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chlorfenapyr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cyhexatin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dicofol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endosulfan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fenarimol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fenpropathrin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profenofos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(PLAN/2025/1425)</w:t>
                  </w:r>
                </w:p>
                <w:p w14:paraId="329ADF9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(top 10/30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2025):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chlorfenapyr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30.</w:t>
                  </w:r>
                </w:p>
                <w:p w14:paraId="7A7F7FAF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chlorfenapyr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fenpropathrin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profenofos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8525DC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dicofol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endosulfan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fenarimol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AE36E4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No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azocyclotin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cyhexatin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</w:p>
                <w:p w14:paraId="620AB0B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C.02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II, III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V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carbofuran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imazalil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mandipropamid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propaquizafop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quizalofop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-P-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ethyl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quizalofop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-P-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tefuryl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(PLAN/2025/2832)</w:t>
                  </w:r>
                </w:p>
                <w:p w14:paraId="4F29961F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(top 10/30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2025):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mandipropamid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30.</w:t>
                  </w:r>
                </w:p>
                <w:p w14:paraId="09710DF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imazalil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Propaquizafop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131630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carbofuran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 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quizalofop</w:t>
                  </w:r>
                  <w:proofErr w:type="spellEnd"/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-p-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ethyl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EB089AF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No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quizalofop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-p-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tefuryl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59EFABC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C.03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II, III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V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diazinon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(PLAN/2025/3159)</w:t>
                  </w:r>
                </w:p>
                <w:p w14:paraId="3F05B106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almonds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8650BE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lastRenderedPageBreak/>
                    <w:t xml:space="preserve">C.04 Exchange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Annex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II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396/2005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maximum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residue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levels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bixlozone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certain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(PLAN/2026/987)</w:t>
                  </w:r>
                </w:p>
                <w:p w14:paraId="37862C6E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163427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0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https://food.ec.europa.eu/document/download/acf58e67-118c-4ff6-8227-d69cd78f5366_en?filename=sc_phyto_20260518_ppr_agenda.pdf</w:t>
                    </w:r>
                  </w:hyperlink>
                </w:p>
                <w:p w14:paraId="5901DCAD" w14:textId="77777777" w:rsid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AC4543F" w14:textId="3E4ADCB5" w:rsidR="00A30410" w:rsidRP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1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EU-Mexico: EU Council endorses trade agreement with Mexico/frozen strawberries and tuna</w:t>
                    </w:r>
                  </w:hyperlink>
                </w:p>
                <w:p w14:paraId="48E0C309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11 May,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two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decisions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signing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Political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Economic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Cooperation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Strategic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Partnership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Modernised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Global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MGA)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interim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1A71B6A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two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before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they can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formally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concluded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</w:p>
                <w:p w14:paraId="32D3A7F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investment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liberalisation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aspects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modernised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partnership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function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stand-alone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MGA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falls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EU’s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exclusive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competence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therefore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ratification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individual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MGA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CDFB5AC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decisions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11 May,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formal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signing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take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during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summit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22 May 2026.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asked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before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can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formally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concluded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D498CDC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MGA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completed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ratification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effect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it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superseded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partnership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9AD93AF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interest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FRUCOM:</w:t>
                  </w:r>
                </w:p>
                <w:p w14:paraId="1307908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8.Frozen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Strawberries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Transitional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</w:p>
                <w:p w14:paraId="2440002E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marked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"TRQ-SY/5"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schedule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duty-free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aggregate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1"/>
                    <w:gridCol w:w="3486"/>
                  </w:tblGrid>
                  <w:tr w:rsidR="00A30410" w:rsidRPr="00A30410" w14:paraId="47E0B37F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653B196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Year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3D0AF45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Aggregate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Annual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Quantity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(MT)</w:t>
                        </w:r>
                      </w:p>
                    </w:tc>
                  </w:tr>
                  <w:tr w:rsidR="00A30410" w:rsidRPr="00A30410" w14:paraId="5C8DB2B9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252E947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1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to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1CC0FFA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1 500</w:t>
                        </w:r>
                      </w:p>
                    </w:tc>
                  </w:tr>
                </w:tbl>
                <w:p w14:paraId="00B9A353" w14:textId="77777777" w:rsid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430E594B" w14:textId="689D9713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(b) As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beginning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duty-free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884764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 xml:space="preserve">(c)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aggregate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preferential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Schedule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2CBA4814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(d)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administer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served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16BE94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(e)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0811 10 90.</w:t>
                  </w:r>
                </w:p>
                <w:p w14:paraId="23E1239C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2.Tuna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Transitional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</w:p>
                <w:p w14:paraId="0F1FD0D9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marked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"TRQ-TN1/7"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schedule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(h),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specified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paragraphs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(b)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(c)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aggregate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"/>
                    <w:gridCol w:w="3486"/>
                  </w:tblGrid>
                  <w:tr w:rsidR="00A30410" w:rsidRPr="00A30410" w14:paraId="4AB43102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29BC426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Year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CC0C78D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Aggregate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Annual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Quantity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(MT)</w:t>
                        </w:r>
                      </w:p>
                    </w:tc>
                  </w:tr>
                  <w:tr w:rsidR="00A30410" w:rsidRPr="00A30410" w14:paraId="02DB10F0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DC8E9D2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FBF242A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12 000</w:t>
                        </w:r>
                      </w:p>
                    </w:tc>
                  </w:tr>
                  <w:tr w:rsidR="00A30410" w:rsidRPr="00A30410" w14:paraId="7CE40B68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9258B13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055211D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12 500</w:t>
                        </w:r>
                      </w:p>
                    </w:tc>
                  </w:tr>
                  <w:tr w:rsidR="00A30410" w:rsidRPr="00A30410" w14:paraId="68B486E3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396859F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09113E1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13 000</w:t>
                        </w:r>
                      </w:p>
                    </w:tc>
                  </w:tr>
                  <w:tr w:rsidR="00A30410" w:rsidRPr="00A30410" w14:paraId="27D30D39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0A79EBC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9817E31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13 500</w:t>
                        </w:r>
                      </w:p>
                    </w:tc>
                  </w:tr>
                  <w:tr w:rsidR="00A30410" w:rsidRPr="00A30410" w14:paraId="70CA6C33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6AEFB01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1E03126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14 000</w:t>
                        </w:r>
                      </w:p>
                    </w:tc>
                  </w:tr>
                </w:tbl>
                <w:p w14:paraId="6B233D90" w14:textId="77777777" w:rsid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0A5C1DD" w14:textId="6CBB5E72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(c)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1604 14 90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in-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of 7,1 %.</w:t>
                  </w:r>
                </w:p>
                <w:p w14:paraId="120AECF7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(d)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aggregate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preferential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Schedule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4831839E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(e) As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beginning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(h)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preferential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Schedule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expire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E930D9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(f) As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beginning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seven,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(h)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duty-free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A7DB88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(g)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administer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served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41D800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(h)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1604 14 21, 1604 14 28, 1604 14 31, 1604 14 38, 1604 14 41, 1604 14 48, 1604 14 90, 1604 19 39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1604 20 70.</w:t>
                  </w:r>
                </w:p>
                <w:p w14:paraId="1AC5EDC8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11. Tuna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Transitional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</w:p>
                <w:p w14:paraId="363FC59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marked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"TRQ-TN2/5"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schedule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(f)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in-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of 6 %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aggregate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1"/>
                    <w:gridCol w:w="3486"/>
                  </w:tblGrid>
                  <w:tr w:rsidR="00A30410" w:rsidRPr="00A30410" w14:paraId="5E3E867B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78BBA3F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Year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674E9E9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Aggregate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Annual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Quantity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(MT)</w:t>
                        </w:r>
                      </w:p>
                    </w:tc>
                  </w:tr>
                  <w:tr w:rsidR="00A30410" w:rsidRPr="00A30410" w14:paraId="2D5F697E" w14:textId="77777777" w:rsidTr="00A30410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FB9F9AC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1 </w:t>
                        </w:r>
                        <w:proofErr w:type="spellStart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to</w:t>
                        </w:r>
                        <w:proofErr w:type="spellEnd"/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CABFEEC" w14:textId="77777777" w:rsidR="00A30410" w:rsidRPr="00A30410" w:rsidRDefault="00A30410" w:rsidP="00A30410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</w:pPr>
                        <w:r w:rsidRPr="00A30410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14:ligatures w14:val="none"/>
                          </w:rPr>
                          <w:t>6 000</w:t>
                        </w:r>
                      </w:p>
                    </w:tc>
                  </w:tr>
                </w:tbl>
                <w:p w14:paraId="3D484F1E" w14:textId="77777777" w:rsid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405EE4BC" w14:textId="41FDB652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(b)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aggregate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preferential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Schedule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1379D199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(c) As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beginning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(f)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preferential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Appendix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2-A-1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Schedule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expires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36A912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(d) As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beginning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subparagraph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(f)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duty-free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A4E81D1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(e)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administer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served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0D71F2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(f)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TRQ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1604 14 26, 1604 14 36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1604 14 46.</w:t>
                  </w:r>
                </w:p>
                <w:p w14:paraId="37D39235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32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https://www.consilium.europa.eu/en/press/press-releases/2026/05/11/eu-mexico-relations-council-endorses-agreements-to-boost-cooperation-and-trade/</w:t>
                    </w:r>
                  </w:hyperlink>
                </w:p>
                <w:p w14:paraId="4A9CD013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33" w:history="1">
                    <w:r w:rsidRPr="00A30410">
                      <w:rPr>
                        <w:rFonts w:ascii="Arial" w:eastAsia="Times New Roman" w:hAnsi="Arial" w:cs="Arial"/>
                        <w:color w:val="0046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Appendix B - Tariff Rate Quotas - EU</w:t>
                    </w:r>
                  </w:hyperlink>
                  <w:hyperlink r:id="rId34" w:history="1">
                    <w:r w:rsidRPr="00A30410">
                      <w:rPr>
                        <w:rFonts w:ascii="Arial" w:eastAsia="Times New Roman" w:hAnsi="Arial" w:cs="Arial"/>
                        <w:color w:val="00002E"/>
                        <w:kern w:val="0"/>
                        <w:bdr w:val="none" w:sz="0" w:space="0" w:color="auto" w:frame="1"/>
                        <w14:ligatures w14:val="none"/>
                      </w:rPr>
                      <w:t> (revised 2025)</w:t>
                    </w:r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https://circabc.europa.eu/ui/group/09242a36-a438-40fd-a7af-fe32e36cbd0e/library/5576989d-de04-4f88-88c2-4b2d090f56a8/details</w:t>
                    </w:r>
                  </w:hyperlink>
                </w:p>
                <w:p w14:paraId="71A5659A" w14:textId="77777777" w:rsid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</w:p>
                <w:p w14:paraId="7CE7340D" w14:textId="1A0FF7E2" w:rsidR="00A30410" w:rsidRPr="00A30410" w:rsidRDefault="00A30410" w:rsidP="00A30410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5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Organics/nuts, dried fruit, prepared fruit and vegetables, seafood: Commission report on non-authorised substances in organic products</w:t>
                    </w:r>
                  </w:hyperlink>
                </w:p>
                <w:p w14:paraId="4CC4DE0B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29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2018/848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labelling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presence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</w:p>
                <w:p w14:paraId="378727A2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taken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presence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considers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submitted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dedicated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study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EFSA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21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frequently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21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categorised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priority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2025:</w:t>
                  </w:r>
                </w:p>
                <w:p w14:paraId="5708514F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Top10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(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category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):</w:t>
                  </w:r>
                </w:p>
                <w:p w14:paraId="75242D45" w14:textId="77777777" w:rsidR="00A30410" w:rsidRPr="00A30410" w:rsidRDefault="00A30410" w:rsidP="00A30410">
                  <w:pPr>
                    <w:numPr>
                      <w:ilvl w:val="2"/>
                      <w:numId w:val="11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Fosetyl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(361/3),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(207/7),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fish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custraceans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molluscs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aquatic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invertebrates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(4/0).</w:t>
                  </w:r>
                </w:p>
                <w:p w14:paraId="07E9ADA6" w14:textId="77777777" w:rsidR="00A30410" w:rsidRPr="00A30410" w:rsidRDefault="00A30410" w:rsidP="00A30410">
                  <w:pPr>
                    <w:numPr>
                      <w:ilvl w:val="2"/>
                      <w:numId w:val="11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Cypermethrin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(66/2),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(12/0).</w:t>
                  </w:r>
                </w:p>
                <w:p w14:paraId="2AB77D44" w14:textId="77777777" w:rsidR="00A30410" w:rsidRPr="00A30410" w:rsidRDefault="00A30410" w:rsidP="00A30410">
                  <w:pPr>
                    <w:numPr>
                      <w:ilvl w:val="2"/>
                      <w:numId w:val="11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Boscalid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(112/9),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(34/1).</w:t>
                  </w:r>
                </w:p>
                <w:p w14:paraId="5C4D69E0" w14:textId="77777777" w:rsidR="00A30410" w:rsidRPr="00A30410" w:rsidRDefault="00A30410" w:rsidP="00A30410">
                  <w:pPr>
                    <w:numPr>
                      <w:ilvl w:val="2"/>
                      <w:numId w:val="11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Fluopyram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(68/6),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(62/3).</w:t>
                  </w:r>
                </w:p>
                <w:p w14:paraId="20E39DDA" w14:textId="77777777" w:rsidR="00A30410" w:rsidRPr="00A30410" w:rsidRDefault="00A30410" w:rsidP="00A30410">
                  <w:pPr>
                    <w:numPr>
                      <w:ilvl w:val="2"/>
                      <w:numId w:val="11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Acetamiprid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(95/2),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(10/1).</w:t>
                  </w:r>
                </w:p>
                <w:p w14:paraId="572B881D" w14:textId="77777777" w:rsidR="00A30410" w:rsidRPr="00A30410" w:rsidRDefault="00A30410" w:rsidP="00A30410">
                  <w:pPr>
                    <w:numPr>
                      <w:ilvl w:val="2"/>
                      <w:numId w:val="11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Cyprodinil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(57/1),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(21/1).</w:t>
                  </w:r>
                </w:p>
                <w:p w14:paraId="3C11AB29" w14:textId="77777777" w:rsidR="00A30410" w:rsidRPr="00A30410" w:rsidRDefault="00A30410" w:rsidP="00A30410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Top30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detected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(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category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):</w:t>
                  </w:r>
                </w:p>
                <w:p w14:paraId="0CE00995" w14:textId="77777777" w:rsidR="00A30410" w:rsidRPr="00A30410" w:rsidRDefault="00A30410" w:rsidP="00A30410">
                  <w:pPr>
                    <w:numPr>
                      <w:ilvl w:val="2"/>
                      <w:numId w:val="12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Glyphosate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(9/0),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(9/0).</w:t>
                  </w:r>
                </w:p>
                <w:p w14:paraId="09DC49C3" w14:textId="77777777" w:rsidR="00A30410" w:rsidRPr="00A30410" w:rsidRDefault="00A30410" w:rsidP="00A30410">
                  <w:pPr>
                    <w:numPr>
                      <w:ilvl w:val="2"/>
                      <w:numId w:val="12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Tebuconazole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(148/9),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(29/2).</w:t>
                  </w:r>
                </w:p>
                <w:p w14:paraId="63066CE5" w14:textId="77777777" w:rsidR="00A30410" w:rsidRPr="00A30410" w:rsidRDefault="00A30410" w:rsidP="00A30410">
                  <w:pPr>
                    <w:numPr>
                      <w:ilvl w:val="2"/>
                      <w:numId w:val="12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Pirimiphos-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methyl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(6/4),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(1/0).</w:t>
                  </w:r>
                </w:p>
                <w:p w14:paraId="088C69BB" w14:textId="77777777" w:rsidR="00A30410" w:rsidRPr="00A30410" w:rsidRDefault="00A30410" w:rsidP="00A30410">
                  <w:pPr>
                    <w:numPr>
                      <w:ilvl w:val="2"/>
                      <w:numId w:val="12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Azoxystrobin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(27/3),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(17/2).</w:t>
                  </w:r>
                </w:p>
                <w:p w14:paraId="0DC0EAED" w14:textId="77777777" w:rsidR="00A30410" w:rsidRPr="00A30410" w:rsidRDefault="00A30410" w:rsidP="00A30410">
                  <w:pPr>
                    <w:numPr>
                      <w:ilvl w:val="2"/>
                      <w:numId w:val="12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Lambda-</w:t>
                  </w: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cyhalothrin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(106/5),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(16/0),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fish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custraceans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molluscs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aquatic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invertebrates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(1/0).</w:t>
                  </w:r>
                </w:p>
                <w:p w14:paraId="3D013E38" w14:textId="77777777" w:rsidR="00A30410" w:rsidRPr="00A30410" w:rsidRDefault="00A30410" w:rsidP="00A30410">
                  <w:pPr>
                    <w:numPr>
                      <w:ilvl w:val="2"/>
                      <w:numId w:val="12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Spirotetramat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(28/2),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(9/0).</w:t>
                  </w:r>
                </w:p>
                <w:p w14:paraId="73BCC60E" w14:textId="77777777" w:rsidR="00A30410" w:rsidRPr="00A30410" w:rsidRDefault="00A30410" w:rsidP="00A30410">
                  <w:pPr>
                    <w:numPr>
                      <w:ilvl w:val="2"/>
                      <w:numId w:val="12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Difenoconazole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(96/0),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(47/0).</w:t>
                  </w:r>
                </w:p>
                <w:p w14:paraId="2C06ED84" w14:textId="77777777" w:rsidR="00A30410" w:rsidRPr="00A30410" w:rsidRDefault="00A30410" w:rsidP="00A30410">
                  <w:pPr>
                    <w:numPr>
                      <w:ilvl w:val="2"/>
                      <w:numId w:val="12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Deltamethrin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(58/5),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(14/0),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fish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custraceans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molluscs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aquatic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invertebrates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(1/0).</w:t>
                  </w:r>
                </w:p>
                <w:p w14:paraId="20D2A01F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Remaining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shd w:val="clear" w:color="auto" w:fill="FFFFFF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shd w:val="clear" w:color="auto" w:fill="FFFFFF"/>
                      <w14:ligatures w14:val="none"/>
                    </w:rPr>
                    <w:t>Imidacloprid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shd w:val="clear" w:color="auto" w:fill="FFFFFF"/>
                      <w14:ligatures w14:val="none"/>
                    </w:rPr>
                    <w:t>,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shd w:val="clear" w:color="auto" w:fill="FFFFFF"/>
                      <w14:ligatures w14:val="none"/>
                    </w:rPr>
                    <w:t>Folpet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shd w:val="clear" w:color="auto" w:fill="FFFFFF"/>
                      <w14:ligatures w14:val="none"/>
                    </w:rPr>
                    <w:t xml:space="preserve"> (sum), Chlormequat, Pendimethalin, Chloridazon, Pyriproxyfen, Fludioxonil.</w:t>
                  </w:r>
                </w:p>
                <w:p w14:paraId="4B557D75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Main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conclusions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29BAD430" w14:textId="77777777" w:rsidR="00A30410" w:rsidRPr="00A30410" w:rsidRDefault="00A30410" w:rsidP="00AA2A34">
                  <w:pPr>
                    <w:numPr>
                      <w:ilvl w:val="2"/>
                      <w:numId w:val="12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investigations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initiated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rapidly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often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concluded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reasonable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 span.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Similarly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avoid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marketing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investigation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appear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satisfactorily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although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challenges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fresh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shelf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life.</w:t>
                  </w:r>
                </w:p>
                <w:p w14:paraId="7F6AF160" w14:textId="77777777" w:rsidR="00A30410" w:rsidRPr="00A30410" w:rsidRDefault="00A30410" w:rsidP="00AA2A34">
                  <w:pPr>
                    <w:numPr>
                      <w:ilvl w:val="2"/>
                      <w:numId w:val="12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reasonably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adjustment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early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stage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Building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various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actors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’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learning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improvements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operation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ready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underpin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fostering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dialogue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experiences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4BAFC11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6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https://eur-lex.europa.eu/legal-content/EN/TXT/?uri=COM%3A2026%3A142%3AFIN&amp;qid=1775027308098</w:t>
                    </w:r>
                  </w:hyperlink>
                </w:p>
                <w:p w14:paraId="5464EC52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7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https://eur-lex.europa.eu/legal-content/EN/TXT/?uri=SWD%3A2026%3A95%3AFIN&amp;qid=1775027380897</w:t>
                    </w:r>
                  </w:hyperlink>
                </w:p>
                <w:p w14:paraId="13FFE5E5" w14:textId="77777777" w:rsidR="00AA2A34" w:rsidRDefault="00AA2A34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07D81654" w14:textId="4DFD9312" w:rsidR="00A30410" w:rsidRPr="00A30410" w:rsidRDefault="00A30410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8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Official controls: Commission establishes Member State expert exchange program</w:t>
                    </w:r>
                  </w:hyperlink>
                </w:p>
                <w:p w14:paraId="07DD4646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Decision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(EU) 2026/1023 of 8 May 2026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competent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expertise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animals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EDD8FEB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context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Omnibus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extensively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communications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4E715D2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thus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staff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competent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responsible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organisation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consistency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efficiency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identifying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challenges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practices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develop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appropriate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follow-up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strengthen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cooperation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competent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promote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consistent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03CDEE6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program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14 May 2029).</w:t>
                  </w:r>
                </w:p>
                <w:p w14:paraId="4A3FED94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9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https://eur-lex.europa.eu/legal-content/EN/TXT/?uri=OJ:L_202601023</w:t>
                    </w:r>
                  </w:hyperlink>
                </w:p>
                <w:p w14:paraId="7155CCB6" w14:textId="77777777" w:rsidR="00AA2A34" w:rsidRDefault="00AA2A34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7B062C7F" w14:textId="5B233930" w:rsidR="00A30410" w:rsidRPr="00A30410" w:rsidRDefault="00A30410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0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Contaminants: PFAS webinar by European Chemicals Agency (presentations)</w:t>
                    </w:r>
                  </w:hyperlink>
                </w:p>
                <w:p w14:paraId="36E5EE03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Chemicals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Agency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had a webinar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Risk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Committee’s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opinion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restriction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PFAS.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circular: </w:t>
                  </w:r>
                  <w:hyperlink r:id="rId41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https://frucom.eu/circulars/5903:contaminants-pfas-webinar-by-european-chemicals-agency.html</w:t>
                    </w:r>
                  </w:hyperlink>
                </w:p>
                <w:p w14:paraId="2DE8B5E5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overview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5396CCA2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If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derogations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granted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emissions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minimised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much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Harmonised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enforcement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standardised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analytical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methods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essential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 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RAC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recommends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allowed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5B3556C4" w14:textId="77777777" w:rsidR="00A30410" w:rsidRPr="00A30410" w:rsidRDefault="00A30410" w:rsidP="00AA2A34">
                  <w:pPr>
                    <w:numPr>
                      <w:ilvl w:val="2"/>
                      <w:numId w:val="130"/>
                    </w:numPr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Supply-chain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communication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,</w:t>
                  </w:r>
                </w:p>
                <w:p w14:paraId="284E76F8" w14:textId="77777777" w:rsidR="00A30410" w:rsidRPr="00A30410" w:rsidRDefault="00A30410" w:rsidP="00AA2A34">
                  <w:pPr>
                    <w:numPr>
                      <w:ilvl w:val="2"/>
                      <w:numId w:val="130"/>
                    </w:numPr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Consumer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safe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waste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disposal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,</w:t>
                  </w:r>
                </w:p>
                <w:p w14:paraId="6536D2CC" w14:textId="77777777" w:rsidR="00A30410" w:rsidRPr="00A30410" w:rsidRDefault="00A30410" w:rsidP="00AA2A34">
                  <w:pPr>
                    <w:numPr>
                      <w:ilvl w:val="2"/>
                      <w:numId w:val="130"/>
                    </w:numPr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Monitoring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emissions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reporting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,</w:t>
                  </w:r>
                </w:p>
                <w:p w14:paraId="0341B9A0" w14:textId="77777777" w:rsidR="00A30410" w:rsidRPr="00A30410" w:rsidRDefault="00A30410" w:rsidP="00AA2A34">
                  <w:pPr>
                    <w:numPr>
                      <w:ilvl w:val="2"/>
                      <w:numId w:val="130"/>
                    </w:numPr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Site-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specific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industrial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PFAS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management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plans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0B7AD69E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webinar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recording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42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https://www.youtube.com/watch?v=1-28-J8hh6w</w:t>
                    </w:r>
                  </w:hyperlink>
                </w:p>
                <w:p w14:paraId="02881451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 </w:t>
                  </w:r>
                  <w:hyperlink r:id="rId43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260507_pfas_webinar_all_slides_en</w:t>
                    </w:r>
                  </w:hyperlink>
                </w:p>
                <w:p w14:paraId="0149F47C" w14:textId="797B0FE1" w:rsidR="00A30410" w:rsidRPr="00A30410" w:rsidRDefault="00A30410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4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Pesticides/raisins and dried peppers: EFSA publishes the 2024 European Union report on pesticide residues in food</w:t>
                    </w:r>
                  </w:hyperlink>
                </w:p>
                <w:p w14:paraId="0D34EF99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EFSA has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2024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2D87D0D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resulting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coordinated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 MACP),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(MANCP)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combination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those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grapes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sweet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peppers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peppers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0642311B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2024, 9842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EU-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coordinated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multiannual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subset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1.2%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non-compliant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86,449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non-compliant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1.8%.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accounted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39,433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3.6%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non-compliant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rate.</w:t>
                  </w:r>
                </w:p>
                <w:p w14:paraId="34629EA5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Overall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estimated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dietary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subpopulation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Recommendations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effectiveness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ensure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protection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throughout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EU.</w:t>
                  </w:r>
                </w:p>
                <w:p w14:paraId="466CDE82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An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overview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here: </w:t>
                  </w:r>
                  <w:hyperlink r:id="rId45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https://www.efsa.europa.eu/en/news/pesticide-residues-food-latest-data-released</w:t>
                    </w:r>
                  </w:hyperlink>
                </w:p>
                <w:p w14:paraId="59A0EE67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here: </w:t>
                  </w:r>
                  <w:hyperlink r:id="rId46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https://efsa.onlinelibrary.wiley.com/doi/10.2903/j.efsa.2026.10054</w:t>
                    </w:r>
                  </w:hyperlink>
                </w:p>
                <w:p w14:paraId="2765B8A2" w14:textId="77777777" w:rsidR="00AA2A34" w:rsidRDefault="00AA2A34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68C852B2" w14:textId="01F176C3" w:rsidR="00A30410" w:rsidRPr="00A30410" w:rsidRDefault="00A30410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7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RASFF NOTIFICATION: 2026/19 (04/05/</w:t>
                    </w:r>
                    <w:proofErr w:type="gramStart"/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10/05/2026)</w:t>
                    </w:r>
                  </w:hyperlink>
                </w:p>
                <w:p w14:paraId="681978AA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compiling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RASFF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2026/19 (04/05/</w:t>
                  </w:r>
                  <w:proofErr w:type="gram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2026 -</w:t>
                  </w:r>
                  <w:proofErr w:type="gram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10/05/2026).</w:t>
                  </w:r>
                </w:p>
                <w:p w14:paraId="3436F138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Information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RASFF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SANTE’s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</w:p>
                <w:p w14:paraId="7BB67A02" w14:textId="77777777" w:rsidR="00AA2A34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8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FRUCOMRASFF202</w:t>
                    </w:r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6_Week19</w:t>
                    </w:r>
                  </w:hyperlink>
                  <w:hyperlink r:id="rId49" w:history="1">
                    <w:r w:rsidRPr="00A30410">
                      <w:rPr>
                        <w:rFonts w:ascii="Arial" w:eastAsia="Times New Roman" w:hAnsi="Arial" w:cs="Arial"/>
                        <w:color w:val="2D2D38"/>
                        <w:kern w:val="0"/>
                        <w:bdr w:val="none" w:sz="0" w:space="0" w:color="auto" w:frame="1"/>
                        <w14:ligatures w14:val="none"/>
                      </w:rPr>
                      <w:br/>
                    </w:r>
                  </w:hyperlink>
                </w:p>
                <w:p w14:paraId="15C5DCCC" w14:textId="3FA0179B" w:rsidR="00A30410" w:rsidRPr="00AA2A34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6"/>
                      <w:szCs w:val="26"/>
                      <w14:ligatures w14:val="none"/>
                    </w:rPr>
                  </w:pPr>
                  <w:r w:rsidRPr="00AA2A34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6"/>
                      <w:szCs w:val="26"/>
                      <w14:ligatures w14:val="none"/>
                    </w:rPr>
                    <w:t>DRIED FRUIT &amp; NUTS</w:t>
                  </w:r>
                </w:p>
                <w:p w14:paraId="62B44E5B" w14:textId="77777777" w:rsidR="00A30410" w:rsidRPr="00A30410" w:rsidRDefault="00A30410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50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Dried Cranberries: DG TAXUD Reply to FRUCOM and Industry letter on End-Use obligation for imports of dried cranberries</w:t>
                    </w:r>
                  </w:hyperlink>
                </w:p>
                <w:p w14:paraId="3A2EE781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5 May,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Gerassimos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Thomas,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-General of TAXUD,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replying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13th of April 2026.</w:t>
                  </w:r>
                </w:p>
                <w:p w14:paraId="34740FAA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Commission’s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can be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here:</w:t>
                  </w:r>
                </w:p>
                <w:p w14:paraId="6389B164" w14:textId="2273A3BA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51" w:history="1"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20260421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reply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EU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associations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letter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sweetened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cranberries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suspension</w:t>
                    </w:r>
                    <w:proofErr w:type="spellEnd"/>
                    <w:r w:rsidRPr="00A30410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_</w:t>
                    </w:r>
                  </w:hyperlink>
                </w:p>
                <w:p w14:paraId="346731DB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already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contacted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steps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write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stop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obligation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cranberries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FF21A25" w14:textId="77777777" w:rsidR="00AA2A34" w:rsidRDefault="00AA2A34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1C3FB35" w14:textId="0FAFA24D" w:rsidR="00A30410" w:rsidRPr="00A30410" w:rsidRDefault="00A30410" w:rsidP="00AA2A34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52" w:history="1">
                    <w:r w:rsidRPr="00A30410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Request for Member Feedback: European Commission project to map EU companies in Cashew Value Chain</w:t>
                    </w:r>
                  </w:hyperlink>
                </w:p>
                <w:p w14:paraId="7688EB41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feedback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project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map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trading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processors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)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cashew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soybean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value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chains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that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active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intends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operate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) in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targeted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African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partner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Mozambique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Tanzania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Côte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d’Ivoire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Ghana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Guinea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-Bissau, Senegal, Togo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Benin</w:t>
                  </w: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).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aim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understand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presence,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activities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interests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value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chains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assist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future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programming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investment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agenda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EU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this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7DB615FE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order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identify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players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private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sector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operating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these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sectors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FRUCOM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targeted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asked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respond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</w: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"https://ec.europa.eu/eusurvey/runner/a7950a88-cf88-574a-7baf-bfcf3a020cbd"</w:instrText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>short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>survey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4D76BB5E" w14:textId="77777777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Final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inputs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help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assess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role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potential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EU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firms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partner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future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programs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region</w:t>
                  </w:r>
                  <w:proofErr w:type="spellEnd"/>
                  <w:r w:rsidRPr="00A30410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71647119" w14:textId="65E1E3CB" w:rsidR="00A30410" w:rsidRPr="00A30410" w:rsidRDefault="00A30410" w:rsidP="00AA2A34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</w:tbl>
          <w:p w14:paraId="6A1EA648" w14:textId="77777777" w:rsidR="00A30410" w:rsidRPr="00A30410" w:rsidRDefault="00A30410" w:rsidP="00A30410">
            <w:pPr>
              <w:spacing w:after="120" w:line="240" w:lineRule="auto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</w:tbl>
    <w:p w14:paraId="5C197D2D" w14:textId="77777777" w:rsidR="00815CBF" w:rsidRPr="00A30410" w:rsidRDefault="00815CBF" w:rsidP="00A30410">
      <w:pPr>
        <w:spacing w:after="120" w:line="240" w:lineRule="auto"/>
      </w:pPr>
    </w:p>
    <w:sectPr w:rsidR="00815CBF" w:rsidRPr="00A3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0FEA"/>
    <w:multiLevelType w:val="multilevel"/>
    <w:tmpl w:val="52D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57AC1"/>
    <w:multiLevelType w:val="multilevel"/>
    <w:tmpl w:val="43FC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957FF"/>
    <w:multiLevelType w:val="multilevel"/>
    <w:tmpl w:val="39E8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D3351"/>
    <w:multiLevelType w:val="multilevel"/>
    <w:tmpl w:val="C930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921234">
    <w:abstractNumId w:val="3"/>
  </w:num>
  <w:num w:numId="2" w16cid:durableId="1788504029">
    <w:abstractNumId w:val="2"/>
  </w:num>
  <w:num w:numId="3" w16cid:durableId="65164523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118019596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27363644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63160034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12620019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78025103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27922161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210799193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124453514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2020371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50262615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54628759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51888573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82182150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211524316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73785039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7151196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80176945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43112243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124317646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23424919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 w16cid:durableId="17465840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45903341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29059720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66246904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64311806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9818374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128230190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133025144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2" w16cid:durableId="97098577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3" w16cid:durableId="72564417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 w16cid:durableId="71061388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77470935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160792606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 w16cid:durableId="188274300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8" w16cid:durableId="4869959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9" w16cid:durableId="68697915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166181028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1" w16cid:durableId="81495596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89516531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3" w16cid:durableId="43656409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4" w16cid:durableId="162268427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5" w16cid:durableId="49881604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6" w16cid:durableId="40600339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7" w16cid:durableId="98890260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8" w16cid:durableId="63761342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9" w16cid:durableId="206440726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0" w16cid:durableId="99826499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1" w16cid:durableId="201919353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2" w16cid:durableId="144272306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3" w16cid:durableId="130392988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4" w16cid:durableId="15252633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5" w16cid:durableId="199768652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6" w16cid:durableId="134062085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7" w16cid:durableId="110527185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8" w16cid:durableId="13267289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9" w16cid:durableId="44743289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0" w16cid:durableId="121958555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1" w16cid:durableId="18205944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2" w16cid:durableId="208525682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3" w16cid:durableId="9767888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4" w16cid:durableId="110403295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5" w16cid:durableId="198785180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6" w16cid:durableId="172779896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7" w16cid:durableId="131972869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8" w16cid:durableId="70556972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9" w16cid:durableId="94824232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0" w16cid:durableId="108445269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1" w16cid:durableId="200227515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2" w16cid:durableId="149638502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3" w16cid:durableId="176607704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4" w16cid:durableId="138564326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5" w16cid:durableId="84740734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6" w16cid:durableId="168436215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7" w16cid:durableId="205816558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8" w16cid:durableId="104564556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9" w16cid:durableId="49225974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0" w16cid:durableId="15237865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1" w16cid:durableId="183776781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2" w16cid:durableId="185299163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3" w16cid:durableId="164851022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4" w16cid:durableId="40114594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5" w16cid:durableId="86875828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6" w16cid:durableId="119245798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7" w16cid:durableId="178280348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8" w16cid:durableId="162322211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9" w16cid:durableId="21948761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0" w16cid:durableId="1523532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1" w16cid:durableId="75362765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2" w16cid:durableId="110449562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3" w16cid:durableId="3342924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4" w16cid:durableId="126761558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5" w16cid:durableId="207673558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6" w16cid:durableId="119068021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7" w16cid:durableId="138340694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8" w16cid:durableId="161404612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9" w16cid:durableId="132011402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0" w16cid:durableId="20749447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1" w16cid:durableId="74279440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2" w16cid:durableId="89293258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3" w16cid:durableId="79621973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4" w16cid:durableId="168343794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5" w16cid:durableId="104983775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6" w16cid:durableId="167276124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7" w16cid:durableId="189761767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8" w16cid:durableId="120995563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9" w16cid:durableId="2945341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98477246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41682678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351419946">
    <w:abstractNumId w:val="0"/>
  </w:num>
  <w:num w:numId="113" w16cid:durableId="109133056">
    <w:abstractNumId w:val="1"/>
  </w:num>
  <w:num w:numId="114" w16cid:durableId="627321145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5" w16cid:durableId="341130199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5272246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44914738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8" w16cid:durableId="914241017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9" w16cid:durableId="4015537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0" w16cid:durableId="655688685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1" w16cid:durableId="1933002598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2" w16cid:durableId="1332761277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3" w16cid:durableId="886380220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4" w16cid:durableId="1468627701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5" w16cid:durableId="40534745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6" w16cid:durableId="174240930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7" w16cid:durableId="1247811016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8" w16cid:durableId="413018048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9" w16cid:durableId="1486782161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0" w16cid:durableId="2137722170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88"/>
    <w:rsid w:val="000E1DF4"/>
    <w:rsid w:val="002761EB"/>
    <w:rsid w:val="0028001B"/>
    <w:rsid w:val="003D294E"/>
    <w:rsid w:val="00426311"/>
    <w:rsid w:val="0048120F"/>
    <w:rsid w:val="00763EFD"/>
    <w:rsid w:val="00815CBF"/>
    <w:rsid w:val="008F463D"/>
    <w:rsid w:val="00A01A9B"/>
    <w:rsid w:val="00A30410"/>
    <w:rsid w:val="00A3694E"/>
    <w:rsid w:val="00A47761"/>
    <w:rsid w:val="00A53438"/>
    <w:rsid w:val="00A64A83"/>
    <w:rsid w:val="00AA2A34"/>
    <w:rsid w:val="00AF3879"/>
    <w:rsid w:val="00B33E05"/>
    <w:rsid w:val="00C11CC9"/>
    <w:rsid w:val="00CC15C6"/>
    <w:rsid w:val="00CD0E41"/>
    <w:rsid w:val="00E34288"/>
    <w:rsid w:val="00EF5383"/>
    <w:rsid w:val="00F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4A04"/>
  <w15:chartTrackingRefBased/>
  <w15:docId w15:val="{B1A4880A-334E-46CE-A258-9D98EE3B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428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428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428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428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428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428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428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428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428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428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428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120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food.ec.europa.eu/document/download/3e438015-3777-453e-8172-8288fcae2427_en?filename=reg-com_toxic_20260513_agenda.pdf" TargetMode="External"/><Relationship Id="rId39" Type="http://schemas.openxmlformats.org/officeDocument/2006/relationships/hyperlink" Target="https://eur-lex.europa.eu/legal-content/EN/TXT/?uri=OJ:L_202601023" TargetMode="External"/><Relationship Id="rId21" Type="http://schemas.openxmlformats.org/officeDocument/2006/relationships/hyperlink" Target="mailto:lmofolo@frucom.eu" TargetMode="External"/><Relationship Id="rId34" Type="http://schemas.openxmlformats.org/officeDocument/2006/relationships/hyperlink" Target="https://circabc.europa.eu/ui/group/09242a36-a438-40fd-a7af-fe32e36cbd0e/library/5576989d-de04-4f88-88c2-4b2d090f56a8/details" TargetMode="External"/><Relationship Id="rId42" Type="http://schemas.openxmlformats.org/officeDocument/2006/relationships/hyperlink" Target="https://www.youtube.com/watch?v=1-28-J8hh6w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www.eppgroup.eu/newsroom/epp-group-calls-for-conclusion-of-the-us-trade-deal" TargetMode="External"/><Relationship Id="rId32" Type="http://schemas.openxmlformats.org/officeDocument/2006/relationships/hyperlink" Target="https://www.consilium.europa.eu/en/press/press-releases/2026/05/11/eu-mexico-relations-council-endorses-agreements-to-boost-cooperation-and-trade/" TargetMode="External"/><Relationship Id="rId37" Type="http://schemas.openxmlformats.org/officeDocument/2006/relationships/hyperlink" Target="https://eur-lex.europa.eu/legal-content/EN/TXT/?uri=SWD:2026:95:FIN&amp;qid=1775027380897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https://www.efsa.europa.eu/en/news/pesticide-residues-food-latest-data-released" TargetMode="External"/><Relationship Id="rId53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s://doodle.com/group-poll/participate/bDZKMLye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food.ec.europa.eu/document/download/acf58e67-118c-4ff6-8227-d69cd78f5366_en?filename=sc_phyto_20260518_ppr_agenda.pdf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https://frucom.eu/component/attachments/attachments.html?task=attachment&amp;id=3013" TargetMode="External"/><Relationship Id="rId48" Type="http://schemas.openxmlformats.org/officeDocument/2006/relationships/hyperlink" Target="https://frucom.eu/component/attachments/attachments.html?task=attachment&amp;id=3014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https://frucom.eu/component/attachments/attachments.html?task=attachment&amp;id=3015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https://circabc.europa.eu/ui/group/09242a36-a438-40fd-a7af-fe32e36cbd0e/library/5576989d-de04-4f88-88c2-4b2d090f56a8/details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https://efsa.onlinelibrary.wiley.com/doi/10.2903/j.efsa.2026.10054" TargetMode="External"/><Relationship Id="rId20" Type="http://schemas.openxmlformats.org/officeDocument/2006/relationships/hyperlink" Target="mailto:info@frucom.eu" TargetMode="External"/><Relationship Id="rId41" Type="http://schemas.openxmlformats.org/officeDocument/2006/relationships/hyperlink" Target="https://frucom.eu/circulars/5903:contaminants-pfas-webinar-by-european-chemicals-agency.htm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bernd-lange.de/meldungen/drohungen-aus-washington-klarer-kurs-aus-bruessel" TargetMode="External"/><Relationship Id="rId28" Type="http://schemas.openxmlformats.org/officeDocument/2006/relationships/hyperlink" Target="https://food.ec.europa.eu/document/download/3297f8de-9fb8-4cb3-8439-7465a0fd7357_en?filename=reg-com_cic_20260512_agenda.pdf" TargetMode="External"/><Relationship Id="rId36" Type="http://schemas.openxmlformats.org/officeDocument/2006/relationships/hyperlink" Target="https://eur-lex.europa.eu/legal-content/EN/TXT/?uri=COM:2026:142:FIN&amp;qid=1775027308098" TargetMode="External"/><Relationship Id="rId49" Type="http://schemas.openxmlformats.org/officeDocument/2006/relationships/hyperlink" Target="https://frucom.eu/component/attachments/attachments.html?task=attachment&amp;id=301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2026-05-12T06:07:00Z</dcterms:created>
  <dcterms:modified xsi:type="dcterms:W3CDTF">2026-05-12T06:07:00Z</dcterms:modified>
</cp:coreProperties>
</file>