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115F9" w:rsidRPr="00B115F9" w14:paraId="09646E11" w14:textId="77777777">
        <w:trPr>
          <w:jc w:val="center"/>
        </w:trPr>
        <w:tc>
          <w:tcPr>
            <w:tcW w:w="0" w:type="auto"/>
            <w:shd w:val="clear" w:color="auto" w:fill="15323A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115F9" w:rsidRPr="00B115F9" w14:paraId="7DC81B90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225" w:type="dxa"/>
                    <w:bottom w:w="0" w:type="dxa"/>
                    <w:right w:w="225" w:type="dxa"/>
                  </w:tcMar>
                  <w:vAlign w:val="center"/>
                  <w:hideMark/>
                </w:tcPr>
                <w:p w14:paraId="4392F47E" w14:textId="77777777" w:rsidR="00B115F9" w:rsidRPr="00B115F9" w:rsidRDefault="00B115F9" w:rsidP="00B115F9">
                  <w:pPr>
                    <w:spacing w:after="120" w:line="240" w:lineRule="auto"/>
                    <w:jc w:val="both"/>
                    <w:outlineLvl w:val="3"/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14:ligatures w14:val="none"/>
                    </w:rPr>
                  </w:pPr>
                  <w:r w:rsidRPr="00B115F9">
                    <w:rPr>
                      <w:rFonts w:ascii="Helvetica" w:eastAsia="Times New Roman" w:hAnsi="Helvetica" w:cs="Helvetica"/>
                      <w:b/>
                      <w:bCs/>
                      <w:caps/>
                      <w:color w:val="FFFFFF"/>
                      <w:kern w:val="0"/>
                      <w14:ligatures w14:val="none"/>
                    </w:rPr>
                    <w:t>FRUCOM NEWSLETTER 8/06/2026</w:t>
                  </w:r>
                </w:p>
                <w:p w14:paraId="77BA6D79" w14:textId="77777777" w:rsidR="00B115F9" w:rsidRPr="00B115F9" w:rsidRDefault="00B115F9" w:rsidP="00B115F9">
                  <w:pPr>
                    <w:numPr>
                      <w:ilvl w:val="0"/>
                      <w:numId w:val="2"/>
                    </w:num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  <w:t>ALL PRODUCTS</w:t>
                  </w:r>
                </w:p>
                <w:p w14:paraId="4606AF3F" w14:textId="77777777" w:rsidR="00B115F9" w:rsidRPr="00B115F9" w:rsidRDefault="00B115F9" w:rsidP="00B115F9">
                  <w:pPr>
                    <w:numPr>
                      <w:ilvl w:val="1"/>
                      <w:numId w:val="2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5" w:history="1"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EU-US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Trade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FRUCOM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exchange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with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DG TAXUD on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implementation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of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regulation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to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liberalise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market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access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of US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goods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&amp;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quotas</w:t>
                    </w:r>
                    <w:proofErr w:type="spellEnd"/>
                  </w:hyperlink>
                </w:p>
                <w:p w14:paraId="097DDA22" w14:textId="77777777" w:rsidR="00B115F9" w:rsidRPr="00B115F9" w:rsidRDefault="00B115F9" w:rsidP="00B115F9">
                  <w:pPr>
                    <w:numPr>
                      <w:ilvl w:val="1"/>
                      <w:numId w:val="2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6" w:history="1"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EU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Parliament’s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Trade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Committee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approves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deal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EU-US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trade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agreement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,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Plenary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vote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due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16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June</w:t>
                    </w:r>
                    <w:proofErr w:type="spellEnd"/>
                  </w:hyperlink>
                </w:p>
                <w:p w14:paraId="3C260073" w14:textId="77777777" w:rsidR="00B115F9" w:rsidRPr="00B115F9" w:rsidRDefault="00B115F9" w:rsidP="00B115F9">
                  <w:pPr>
                    <w:numPr>
                      <w:ilvl w:val="1"/>
                      <w:numId w:val="2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7" w:history="1"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Organics: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Civil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Dialogue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Group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Meeting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notes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(5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June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)</w:t>
                    </w:r>
                  </w:hyperlink>
                </w:p>
                <w:p w14:paraId="18EC1B2A" w14:textId="77777777" w:rsidR="00B115F9" w:rsidRPr="00B115F9" w:rsidRDefault="00B115F9" w:rsidP="00B115F9">
                  <w:pPr>
                    <w:numPr>
                      <w:ilvl w:val="1"/>
                      <w:numId w:val="2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8" w:history="1"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Omnibus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/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Pesticides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draft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Council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position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Commission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proposal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for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amending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the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MRLs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Regulation</w:t>
                    </w:r>
                    <w:proofErr w:type="spellEnd"/>
                  </w:hyperlink>
                </w:p>
                <w:p w14:paraId="34DAD680" w14:textId="77777777" w:rsidR="00B115F9" w:rsidRPr="00B115F9" w:rsidRDefault="00B115F9" w:rsidP="00B115F9">
                  <w:pPr>
                    <w:numPr>
                      <w:ilvl w:val="1"/>
                      <w:numId w:val="2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9" w:history="1"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Corporate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Sustainability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Due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Diligence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FRUCOM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feedback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revised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sustainability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reporting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standards</w:t>
                    </w:r>
                    <w:proofErr w:type="spellEnd"/>
                  </w:hyperlink>
                </w:p>
                <w:p w14:paraId="4A63C7D6" w14:textId="77777777" w:rsidR="00B115F9" w:rsidRPr="00B115F9" w:rsidRDefault="00B115F9" w:rsidP="00B115F9">
                  <w:pPr>
                    <w:numPr>
                      <w:ilvl w:val="1"/>
                      <w:numId w:val="2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0" w:history="1"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Official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controls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Commission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draft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Increased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Controls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revision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(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June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2026)</w:t>
                    </w:r>
                  </w:hyperlink>
                </w:p>
                <w:p w14:paraId="70F646B0" w14:textId="77777777" w:rsidR="00B115F9" w:rsidRPr="00B115F9" w:rsidRDefault="00B115F9" w:rsidP="00B115F9">
                  <w:pPr>
                    <w:numPr>
                      <w:ilvl w:val="1"/>
                      <w:numId w:val="2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1" w:history="1"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Contaminants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upcoming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webinar on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new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MOAH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maximum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levels</w:t>
                    </w:r>
                    <w:proofErr w:type="spellEnd"/>
                  </w:hyperlink>
                </w:p>
                <w:p w14:paraId="3302C7FF" w14:textId="77777777" w:rsidR="00B115F9" w:rsidRPr="00B115F9" w:rsidRDefault="00B115F9" w:rsidP="00B115F9">
                  <w:pPr>
                    <w:numPr>
                      <w:ilvl w:val="1"/>
                      <w:numId w:val="2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2" w:history="1"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RASFF NOTIFICATION: 2026/23 (01/06/</w:t>
                    </w:r>
                    <w:proofErr w:type="gram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2026 -</w:t>
                    </w:r>
                    <w:proofErr w:type="gram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07/06/2026)</w:t>
                    </w:r>
                  </w:hyperlink>
                </w:p>
                <w:p w14:paraId="0CBF576F" w14:textId="77777777" w:rsidR="00B115F9" w:rsidRPr="00B115F9" w:rsidRDefault="00B115F9" w:rsidP="00B115F9">
                  <w:pPr>
                    <w:numPr>
                      <w:ilvl w:val="0"/>
                      <w:numId w:val="2"/>
                    </w:num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kern w:val="0"/>
                      <w14:ligatures w14:val="none"/>
                    </w:rPr>
                    <w:t>DRIED FRUIT &amp; NUTS</w:t>
                  </w:r>
                </w:p>
                <w:p w14:paraId="2389EFFA" w14:textId="77777777" w:rsidR="00B115F9" w:rsidRPr="00B115F9" w:rsidRDefault="00B115F9" w:rsidP="00B115F9">
                  <w:pPr>
                    <w:numPr>
                      <w:ilvl w:val="1"/>
                      <w:numId w:val="2"/>
                    </w:num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  <w:hyperlink r:id="rId13" w:history="1"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Contaminants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: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Upcoming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FRUCOM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meeting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on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dried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figs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from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gram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Türkiye -</w:t>
                    </w:r>
                    <w:proofErr w:type="gram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For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your</w:t>
                    </w:r>
                    <w:proofErr w:type="spellEnd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Helvetica" w:eastAsia="Times New Roman" w:hAnsi="Helvetica" w:cs="Helvetica"/>
                        <w:color w:val="FFFFFF"/>
                        <w:kern w:val="0"/>
                        <w:u w:val="single"/>
                        <w:bdr w:val="none" w:sz="0" w:space="0" w:color="auto" w:frame="1"/>
                        <w14:ligatures w14:val="none"/>
                      </w:rPr>
                      <w:t>input</w:t>
                    </w:r>
                    <w:proofErr w:type="spellEnd"/>
                  </w:hyperlink>
                </w:p>
              </w:tc>
            </w:tr>
            <w:tr w:rsidR="00B115F9" w:rsidRPr="00B115F9" w14:paraId="3CAEA586" w14:textId="77777777">
              <w:trPr>
                <w:trHeight w:val="30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0D66A0A" w14:textId="77777777" w:rsidR="00B115F9" w:rsidRPr="00B115F9" w:rsidRDefault="00B115F9" w:rsidP="00B115F9">
                  <w:pPr>
                    <w:spacing w:after="120" w:line="240" w:lineRule="auto"/>
                    <w:jc w:val="both"/>
                    <w:rPr>
                      <w:rFonts w:ascii="Helvetica" w:eastAsia="Times New Roman" w:hAnsi="Helvetica" w:cs="Helvetica"/>
                      <w:color w:val="FFFFFF"/>
                      <w:kern w:val="0"/>
                      <w14:ligatures w14:val="none"/>
                    </w:rPr>
                  </w:pPr>
                </w:p>
              </w:tc>
            </w:tr>
          </w:tbl>
          <w:p w14:paraId="1310DFBF" w14:textId="77777777" w:rsidR="00B115F9" w:rsidRPr="00B115F9" w:rsidRDefault="00B115F9" w:rsidP="00B115F9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2D2D38"/>
                <w:kern w:val="0"/>
                <w14:ligatures w14:val="none"/>
              </w:rPr>
            </w:pPr>
          </w:p>
        </w:tc>
      </w:tr>
      <w:tr w:rsidR="00B115F9" w:rsidRPr="00B115F9" w14:paraId="62E50B99" w14:textId="77777777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115F9" w:rsidRPr="00B115F9" w14:paraId="4CBABB14" w14:textId="77777777">
              <w:trPr>
                <w:trHeight w:val="7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CDF472F" w14:textId="77777777" w:rsidR="00B115F9" w:rsidRPr="00B115F9" w:rsidRDefault="00B115F9" w:rsidP="00B115F9">
                  <w:pPr>
                    <w:spacing w:after="120" w:line="24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14:ligatures w14:val="none"/>
                    </w:rPr>
                  </w:pPr>
                </w:p>
              </w:tc>
            </w:tr>
            <w:tr w:rsidR="00B115F9" w:rsidRPr="00B115F9" w14:paraId="095AF819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2A7C269" w14:textId="77777777" w:rsidR="00B115F9" w:rsidRPr="00B115F9" w:rsidRDefault="00B115F9" w:rsidP="00B115F9">
                  <w:pPr>
                    <w:spacing w:after="12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  <w:t>ALL PRODUCTS</w:t>
                  </w:r>
                </w:p>
                <w:p w14:paraId="68DA0F4F" w14:textId="77777777" w:rsidR="00B115F9" w:rsidRPr="00B115F9" w:rsidRDefault="00B115F9" w:rsidP="00B115F9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14" w:history="1">
                    <w:r w:rsidRPr="00B115F9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EU-US Trade: FRUCOM exchange with DG TAXUD on implementation of regulation to liberalise market access of US goods &amp; quotas</w:t>
                    </w:r>
                  </w:hyperlink>
                </w:p>
                <w:p w14:paraId="108A2963" w14:textId="77777777" w:rsidR="00B115F9" w:rsidRPr="00B115F9" w:rsidRDefault="00B115F9" w:rsidP="00B115F9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FRUCOM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held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exchange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DG TAXUD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Friday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5 May,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discuss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EU’s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liberalising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market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access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presently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undergoing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procedure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F626CB8" w14:textId="77777777" w:rsidR="00B115F9" w:rsidRPr="00B115F9" w:rsidRDefault="00B115F9" w:rsidP="00B115F9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points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discussion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DG TAXUD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concerned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rules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also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provisions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DF199B3" w14:textId="77777777" w:rsidR="00B115F9" w:rsidRPr="00B115F9" w:rsidRDefault="00B115F9" w:rsidP="00B115F9">
                  <w:pPr>
                    <w:spacing w:after="120" w:line="240" w:lineRule="auto"/>
                    <w:ind w:left="1440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</w:p>
                <w:p w14:paraId="58A22D1C" w14:textId="77777777" w:rsidR="00B115F9" w:rsidRPr="00B115F9" w:rsidRDefault="00B115F9" w:rsidP="00B115F9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Implementing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Legislation</w:t>
                  </w:r>
                  <w:proofErr w:type="spellEnd"/>
                </w:p>
                <w:p w14:paraId="60A97724" w14:textId="77777777" w:rsidR="00B115F9" w:rsidRPr="00B115F9" w:rsidRDefault="00B115F9" w:rsidP="00B115F9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DG TAXUD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already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draft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as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reference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how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managed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04C9677" w14:textId="77777777" w:rsidR="00B115F9" w:rsidRPr="00B115F9" w:rsidRDefault="00B115F9" w:rsidP="00B115F9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Article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2</w:t>
                  </w:r>
                </w:p>
                <w:p w14:paraId="75352CC4" w14:textId="77777777" w:rsidR="00B115F9" w:rsidRPr="00B115F9" w:rsidRDefault="00B115F9" w:rsidP="00B115F9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Opening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tariff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quotas</w:t>
                  </w:r>
                  <w:proofErr w:type="spellEnd"/>
                </w:p>
                <w:p w14:paraId="14035DBB" w14:textId="084EC169" w:rsidR="00B115F9" w:rsidRPr="00B115F9" w:rsidRDefault="00B115F9" w:rsidP="00B115F9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 xml:space="preserve">1.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(‘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’)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opened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classified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CN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codes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listed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Annex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III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United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02F9298" w14:textId="77777777" w:rsidR="00B115F9" w:rsidRPr="00B115F9" w:rsidRDefault="00B115F9" w:rsidP="00B115F9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2.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Within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referred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paragraph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Article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preferential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duties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referred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Article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56(2),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point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(e),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No 952/2013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duty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rates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set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out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column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‘in-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rate’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volume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set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out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Annex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III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volumes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each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twelve-months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periods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starting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entry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 AG\1344387EN.docx 9/51 PE789.018v01-00 EN</w:t>
                  </w:r>
                </w:p>
                <w:p w14:paraId="1C17ABE2" w14:textId="77777777" w:rsidR="00B115F9" w:rsidRPr="00B115F9" w:rsidRDefault="00B115F9" w:rsidP="00B115F9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3.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volume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set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out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Annex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III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managed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accordance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management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system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Articles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49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54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2015/</w:t>
                  </w:r>
                  <w:proofErr w:type="gram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2447  (</w:t>
                  </w:r>
                  <w:proofErr w:type="spellStart"/>
                  <w:proofErr w:type="gram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namely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first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come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first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served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/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chronological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order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dates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acceptance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customs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declarations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release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free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circulation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)</w:t>
                  </w: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329CEB3" w14:textId="77777777" w:rsidR="00B115F9" w:rsidRPr="00B115F9" w:rsidRDefault="00B115F9" w:rsidP="00B115F9">
                  <w:pPr>
                    <w:spacing w:after="120" w:line="240" w:lineRule="auto"/>
                    <w:ind w:left="1440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</w:p>
                <w:p w14:paraId="05EB7B74" w14:textId="77777777" w:rsidR="00B115F9" w:rsidRPr="00B115F9" w:rsidRDefault="00B115F9" w:rsidP="00B115F9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Entry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into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Force</w:t>
                  </w:r>
                </w:p>
                <w:p w14:paraId="35EBBD20" w14:textId="77777777" w:rsidR="00B115F9" w:rsidRPr="00B115F9" w:rsidRDefault="00B115F9" w:rsidP="00B115F9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exact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entry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not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known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not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confirmed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domain, DG TAXUD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weekly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gives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indicative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start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1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Since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after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publication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Journal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it is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therefore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expected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can be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deduced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publication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Journal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could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30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However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start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not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confirmed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start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confirmed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FC34001" w14:textId="77777777" w:rsidR="00B115F9" w:rsidRPr="00B115F9" w:rsidRDefault="00B115F9" w:rsidP="00B115F9">
                  <w:pPr>
                    <w:spacing w:after="120" w:line="240" w:lineRule="auto"/>
                    <w:ind w:left="1440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</w:p>
                <w:p w14:paraId="707B35DC" w14:textId="77777777" w:rsidR="00B115F9" w:rsidRPr="00B115F9" w:rsidRDefault="00B115F9" w:rsidP="00B115F9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Rules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Origin</w:t>
                  </w:r>
                  <w:proofErr w:type="spellEnd"/>
                </w:p>
                <w:p w14:paraId="41CE2E69" w14:textId="77777777" w:rsidR="00B115F9" w:rsidRPr="00B115F9" w:rsidRDefault="00B115F9" w:rsidP="00B115F9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1DD744CB" w14:textId="77777777" w:rsidR="00B115F9" w:rsidRPr="00B115F9" w:rsidRDefault="00B115F9" w:rsidP="00B115F9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Article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5 Rules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origin</w:t>
                  </w:r>
                  <w:proofErr w:type="spellEnd"/>
                </w:p>
                <w:p w14:paraId="6676E0A2" w14:textId="77777777" w:rsidR="00B115F9" w:rsidRPr="00B115F9" w:rsidRDefault="00B115F9" w:rsidP="00B115F9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purposes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determined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accordance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rules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non-preferential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referred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Title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II,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Chapter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No 952/2013,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until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rules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preferential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referred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Article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64(</w:t>
                  </w:r>
                  <w:proofErr w:type="gram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2)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proofErr w:type="gram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(3)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have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adopted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79948C3A" w14:textId="77777777" w:rsidR="00B115F9" w:rsidRPr="00B115F9" w:rsidRDefault="00B115F9" w:rsidP="00E918FC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During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exchange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DG TAXUD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clarified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order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ensure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non-circumvention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DG TAXUD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would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make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subject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direct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transportation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 (</w:t>
                  </w:r>
                  <w:proofErr w:type="gram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see</w:t>
                  </w:r>
                  <w:proofErr w:type="gram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 </w:t>
                  </w:r>
                  <w:hyperlink r:id="rId15" w:history="1">
                    <w:r w:rsidRPr="00B115F9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https://trade.ec.europa.eu/access-to-markets/en/content/direct-transport-or-non-manipulation-or-non-alteration-rules</w:t>
                    </w:r>
                  </w:hyperlink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)</w:t>
                  </w:r>
                </w:p>
                <w:p w14:paraId="52D4840E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Tariff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quota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nuts</w:t>
                  </w:r>
                  <w:proofErr w:type="spellEnd"/>
                </w:p>
                <w:p w14:paraId="3DDAF802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500,000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tonnes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zero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duty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covers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CN 0802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fresh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whether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not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shelled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peeled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CN 2008 19 Nuts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seeds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mixtures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prepared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preserved</w:t>
                  </w:r>
                  <w:proofErr w:type="spellEnd"/>
                  <w:proofErr w:type="gram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excluding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groundnuts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order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number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 09.9005.</w:t>
                  </w:r>
                </w:p>
                <w:p w14:paraId="14694649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remains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contact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DG TAXUD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further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5BA2507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can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address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their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questions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hyperlink r:id="rId16" w:history="1">
                    <w:r w:rsidRPr="00B115F9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lmofolo@frucom.eu</w:t>
                    </w:r>
                  </w:hyperlink>
                </w:p>
                <w:p w14:paraId="712B5475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>More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information: </w:t>
                  </w:r>
                  <w:hyperlink r:id="rId17" w:history="1">
                    <w:r w:rsidRPr="00B115F9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https://www.europarl.europa.eu/meetdocs/2024_2029/plmrep/COMMITTEES/INTA/AG/2026/06-02/1344387EN.pdf</w:t>
                    </w:r>
                  </w:hyperlink>
                </w:p>
                <w:p w14:paraId="7FC36128" w14:textId="77777777" w:rsidR="00B115F9" w:rsidRPr="00B115F9" w:rsidRDefault="00B115F9" w:rsidP="00E918FC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18" w:history="1">
                    <w:r w:rsidRPr="00B115F9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EU Parliament’s Trade Committee approves deal on EU-US trade agreement, Plenary vote due on 16 June</w:t>
                    </w:r>
                  </w:hyperlink>
                </w:p>
                <w:p w14:paraId="0573287B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On 2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Parlaiment's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International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Trade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(INTA) 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EU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commitments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EU-US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Joint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Statement.</w:t>
                  </w:r>
                </w:p>
                <w:p w14:paraId="2DE4AE5B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MEPs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begin"/>
                  </w: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instrText>HYPERLINK "https://www.europarl.europa.eu/news/en/press-room/20260518IPR43407/agreement-reached-to-put-eu-us-trade-on-a-more-stable-footing"</w:instrText>
                  </w: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separate"/>
                  </w:r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bdr w:val="none" w:sz="0" w:space="0" w:color="auto" w:frame="1"/>
                      <w14:ligatures w14:val="none"/>
                    </w:rPr>
                    <w:t>approved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bdr w:val="none" w:sz="0" w:space="0" w:color="auto" w:frame="1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bdr w:val="none" w:sz="0" w:space="0" w:color="auto" w:frame="1"/>
                      <w14:ligatures w14:val="none"/>
                    </w:rPr>
                    <w:t>provisional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bdr w:val="none" w:sz="0" w:space="0" w:color="auto" w:frame="1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bdr w:val="none" w:sz="0" w:space="0" w:color="auto" w:frame="1"/>
                      <w14:ligatures w14:val="none"/>
                    </w:rPr>
                    <w:t>agreement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end"/>
                  </w: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reached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2 May 2026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commitments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under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August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2025 EU-US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Joint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Statement.</w:t>
                  </w:r>
                </w:p>
                <w:p w14:paraId="3901B153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two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legislative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adopted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31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votes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favour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6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against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3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abstentions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adjustment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customs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duties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opening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quotas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originating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US);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32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votes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favour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6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against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3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abstentions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non-application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customs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duties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–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lobster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package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).</w:t>
                  </w:r>
                </w:p>
                <w:p w14:paraId="10FC95F2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revised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legislation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451121C1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-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introduce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sunset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clause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establishing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preferences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industrial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agri-food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expire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31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December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2029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unless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renewed</w:t>
                  </w:r>
                  <w:proofErr w:type="spellEnd"/>
                </w:p>
                <w:p w14:paraId="3D48D5D6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-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safeguard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mechanisms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protect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EU’s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industrial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agricultural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sectors</w:t>
                  </w:r>
                  <w:proofErr w:type="spellEnd"/>
                </w:p>
                <w:p w14:paraId="2E403BB9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-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reinforce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suspension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clause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provisions</w:t>
                  </w:r>
                  <w:proofErr w:type="spellEnd"/>
                </w:p>
                <w:p w14:paraId="713FFEE5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-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clear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conditions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tariff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reductions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steel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aluminum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derivatives</w:t>
                  </w:r>
                  <w:proofErr w:type="spellEnd"/>
                </w:p>
                <w:p w14:paraId="3F229D77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Next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steps</w:t>
                  </w:r>
                  <w:proofErr w:type="spellEnd"/>
                </w:p>
                <w:p w14:paraId="2DFFA4E4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whole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vote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two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Tuesday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16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Strasbourg.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have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approve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texts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43657D52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Once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formally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approved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co-legislators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new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legislation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force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after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publication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EU’s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Journal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7857900" w14:textId="77777777" w:rsidR="00B115F9" w:rsidRPr="00B115F9" w:rsidRDefault="00B115F9" w:rsidP="00E918FC">
                  <w:pPr>
                    <w:spacing w:after="120" w:line="240" w:lineRule="auto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information: </w:t>
                  </w:r>
                  <w:hyperlink r:id="rId19" w:history="1">
                    <w:r w:rsidRPr="00B115F9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https://www.europarl.europa.eu/news/en/press-room/20260601IPR44415/trade-committee-approves-deal-on-eu-us-trade-agreement</w:t>
                    </w:r>
                  </w:hyperlink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</w:p>
                <w:p w14:paraId="31646F84" w14:textId="77777777" w:rsidR="00E918FC" w:rsidRDefault="00E918FC" w:rsidP="00E918FC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2B9174EF" w14:textId="1F198733" w:rsidR="00B115F9" w:rsidRPr="00B115F9" w:rsidRDefault="00B115F9" w:rsidP="00E918FC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20" w:history="1">
                    <w:r w:rsidRPr="00B115F9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Organics: Civil Dialogue Group Meeting notes (5 June)</w:t>
                    </w:r>
                  </w:hyperlink>
                </w:p>
                <w:p w14:paraId="063FADA0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attended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Meeting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Civil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Dialogue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(CDG) on Organic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Farming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Friday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which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took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place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5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June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presentations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have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not yet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made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agenda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an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attachment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53F47A76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21" w:history="1">
                    <w:r w:rsidRPr="00B115F9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2026-06-05 CDG Organic </w:t>
                    </w:r>
                    <w:proofErr w:type="spellStart"/>
                    <w:r w:rsidRPr="00B115F9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Farming</w:t>
                    </w:r>
                    <w:proofErr w:type="spellEnd"/>
                    <w:r w:rsidRPr="00B115F9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</w:t>
                    </w:r>
                    <w:proofErr w:type="spellStart"/>
                    <w:r w:rsidRPr="00B115F9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Agenda</w:t>
                    </w:r>
                    <w:proofErr w:type="spellEnd"/>
                    <w:r w:rsidRPr="00B115F9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 xml:space="preserve"> 1</w:t>
                    </w:r>
                  </w:hyperlink>
                </w:p>
                <w:p w14:paraId="650AE891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6E88EB7F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1. Update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EU Organic Action Plan</w:t>
                  </w:r>
                </w:p>
                <w:p w14:paraId="15BF6BC3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plan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2021.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December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2025,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announced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would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updated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discussions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ongoing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). Evaluation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plan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participants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(Organics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Processing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>Trade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Association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OPTA, EU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farmers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cooperative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COPA, Organics </w:t>
                  </w:r>
                  <w:proofErr w:type="gram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International -</w:t>
                  </w:r>
                  <w:proofErr w:type="gram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IFOAM):</w:t>
                  </w:r>
                </w:p>
                <w:p w14:paraId="6B95DECB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Successes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:</w:t>
                  </w:r>
                </w:p>
                <w:p w14:paraId="6F911278" w14:textId="77777777" w:rsidR="00B115F9" w:rsidRPr="00B115F9" w:rsidRDefault="00B115F9" w:rsidP="00E918FC">
                  <w:pPr>
                    <w:numPr>
                      <w:ilvl w:val="2"/>
                      <w:numId w:val="4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Crucial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role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encouraging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set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their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own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targets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B7E8832" w14:textId="77777777" w:rsidR="00B115F9" w:rsidRPr="00B115F9" w:rsidRDefault="00B115F9" w:rsidP="00E918FC">
                  <w:pPr>
                    <w:numPr>
                      <w:ilvl w:val="2"/>
                      <w:numId w:val="5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Positive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role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consumer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awareness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303BB0B8" w14:textId="77777777" w:rsidR="00B115F9" w:rsidRPr="00B115F9" w:rsidRDefault="00B115F9" w:rsidP="00E918FC">
                  <w:pPr>
                    <w:numPr>
                      <w:ilvl w:val="2"/>
                      <w:numId w:val="6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Setting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e-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certificate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TRACES.</w:t>
                  </w:r>
                </w:p>
                <w:p w14:paraId="7CF7526A" w14:textId="77777777" w:rsidR="00B115F9" w:rsidRPr="00B115F9" w:rsidRDefault="00B115F9" w:rsidP="00E918FC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Improvements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needed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:</w:t>
                  </w:r>
                </w:p>
                <w:p w14:paraId="3721A8F7" w14:textId="77777777" w:rsidR="00B115F9" w:rsidRPr="00B115F9" w:rsidRDefault="00B115F9" w:rsidP="006A7CA4">
                  <w:pPr>
                    <w:numPr>
                      <w:ilvl w:val="2"/>
                      <w:numId w:val="7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Market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stimulation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EU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exports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not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just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internal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market.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Targeted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/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additional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promotion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policy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exports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Geographical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Indications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GIs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).</w:t>
                  </w:r>
                </w:p>
                <w:p w14:paraId="215BDA55" w14:textId="77777777" w:rsidR="00B115F9" w:rsidRPr="00B115F9" w:rsidRDefault="00B115F9" w:rsidP="006A7CA4">
                  <w:pPr>
                    <w:numPr>
                      <w:ilvl w:val="2"/>
                      <w:numId w:val="8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Strengthen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role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also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via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Agricultural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Policy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processing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sectors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getting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centralised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bigger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players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bought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driven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out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market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due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e.g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unprofitability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administrative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costs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heavy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bureaucracy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BD3B71C" w14:textId="77777777" w:rsidR="00B115F9" w:rsidRPr="00B115F9" w:rsidRDefault="00B115F9" w:rsidP="006A7CA4">
                  <w:pPr>
                    <w:numPr>
                      <w:ilvl w:val="2"/>
                      <w:numId w:val="9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MS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barriers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national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markets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4248AE8" w14:textId="77777777" w:rsidR="00B115F9" w:rsidRPr="00B115F9" w:rsidRDefault="00B115F9" w:rsidP="006A7CA4">
                  <w:pPr>
                    <w:numPr>
                      <w:ilvl w:val="2"/>
                      <w:numId w:val="10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effort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communication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/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awareness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consumer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logo,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GIs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tight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safety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etc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.).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Even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MS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high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consumption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(reference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Danish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survey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showing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low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knowledge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about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logo/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sector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/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facts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material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should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stakeholders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consumers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fight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greenwashing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8F1C909" w14:textId="77777777" w:rsidR="00B115F9" w:rsidRPr="00B115F9" w:rsidRDefault="00B115F9" w:rsidP="006A7CA4">
                  <w:pPr>
                    <w:numPr>
                      <w:ilvl w:val="2"/>
                      <w:numId w:val="11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streamlining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support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goals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policy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areas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such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sustainability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environment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social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).</w:t>
                  </w:r>
                </w:p>
                <w:p w14:paraId="1EBA478C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Suggestions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new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Organic Action plan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accepted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Organic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later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September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2026. No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fundamental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changes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Action plan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intended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expectations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new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Action plan in 2027.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broader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evidence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launched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later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concrete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timeline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publication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updated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Action plan.</w:t>
                  </w:r>
                </w:p>
                <w:p w14:paraId="6B578133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3.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State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play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roadmap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reduce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burden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organic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operators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national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administrations</w:t>
                  </w:r>
                  <w:proofErr w:type="spellEnd"/>
                </w:p>
                <w:p w14:paraId="17047C56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Ongoing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work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delegated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drafts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/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agendas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Expert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indicative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timings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2222BDFE" w14:textId="77777777" w:rsidR="00B115F9" w:rsidRPr="00B115F9" w:rsidRDefault="00B115F9" w:rsidP="006A7CA4">
                  <w:pPr>
                    <w:numPr>
                      <w:ilvl w:val="2"/>
                      <w:numId w:val="12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Simplification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criteria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biocides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animals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aquaculture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 – Q3 2026.</w:t>
                  </w:r>
                </w:p>
                <w:p w14:paraId="29DF8F71" w14:textId="77777777" w:rsidR="00B115F9" w:rsidRPr="00B115F9" w:rsidRDefault="00B115F9" w:rsidP="006A7CA4">
                  <w:pPr>
                    <w:numPr>
                      <w:ilvl w:val="2"/>
                      <w:numId w:val="13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Update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lists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biocides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plants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animals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aquaculture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 – Q3 2026.</w:t>
                  </w:r>
                </w:p>
                <w:p w14:paraId="008EB78C" w14:textId="77777777" w:rsidR="00B115F9" w:rsidRPr="00B115F9" w:rsidRDefault="00B115F9" w:rsidP="006A7CA4">
                  <w:pPr>
                    <w:numPr>
                      <w:ilvl w:val="2"/>
                      <w:numId w:val="14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Certificate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Inspection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modification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– Q3 2026.</w:t>
                  </w:r>
                </w:p>
                <w:p w14:paraId="7E2432FF" w14:textId="77777777" w:rsidR="00B115F9" w:rsidRPr="00B115F9" w:rsidRDefault="00B115F9" w:rsidP="006A7CA4">
                  <w:pPr>
                    <w:numPr>
                      <w:ilvl w:val="2"/>
                      <w:numId w:val="15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Low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risk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list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updates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– Q3 2026.</w:t>
                  </w:r>
                </w:p>
                <w:p w14:paraId="4DC5693B" w14:textId="77777777" w:rsidR="00B115F9" w:rsidRPr="00B115F9" w:rsidRDefault="00B115F9" w:rsidP="006A7CA4">
                  <w:pPr>
                    <w:numPr>
                      <w:ilvl w:val="2"/>
                      <w:numId w:val="16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Criteria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high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-risk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– Q3 2026.</w:t>
                  </w:r>
                </w:p>
                <w:p w14:paraId="2962E6E9" w14:textId="77777777" w:rsidR="00B115F9" w:rsidRPr="00B115F9" w:rsidRDefault="00B115F9" w:rsidP="006A7CA4">
                  <w:pPr>
                    <w:numPr>
                      <w:ilvl w:val="2"/>
                      <w:numId w:val="17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Review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roadmap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– Q1 2028.</w:t>
                  </w:r>
                </w:p>
                <w:p w14:paraId="52413064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4. Update EGTOP (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Expert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Group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Technical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Advice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on Organic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Production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)</w:t>
                  </w:r>
                </w:p>
                <w:p w14:paraId="29EA4B90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reviewing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additional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elements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framework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which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related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aquaculture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(as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roadmap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December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2025):</w:t>
                  </w:r>
                </w:p>
                <w:p w14:paraId="1C61A7FC" w14:textId="77777777" w:rsidR="00B115F9" w:rsidRPr="00B115F9" w:rsidRDefault="00B115F9" w:rsidP="006A7CA4">
                  <w:pPr>
                    <w:numPr>
                      <w:ilvl w:val="2"/>
                      <w:numId w:val="18"/>
                    </w:numPr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2023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document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obstacles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Organic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aquaculture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stakeholder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requests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considered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review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Points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material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breeding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etc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9762BC3" w14:textId="77777777" w:rsidR="00B115F9" w:rsidRPr="00B115F9" w:rsidRDefault="00B115F9" w:rsidP="006A7CA4">
                  <w:pPr>
                    <w:numPr>
                      <w:ilvl w:val="2"/>
                      <w:numId w:val="19"/>
                    </w:numPr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consultation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DG MARE in 8</w:t>
                  </w:r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 xml:space="preserve">-12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June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14:ligatures w14:val="none"/>
                    </w:rPr>
                    <w:t> 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also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concern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aquaculture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7579C109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7. Europe Market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update</w:t>
                  </w:r>
                  <w:proofErr w:type="spellEnd"/>
                </w:p>
                <w:p w14:paraId="5AEF775F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Key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trends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EU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markets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IFOAM Europe:</w:t>
                  </w:r>
                </w:p>
                <w:p w14:paraId="2FC35027" w14:textId="77777777" w:rsidR="00B115F9" w:rsidRPr="00B115F9" w:rsidRDefault="00B115F9" w:rsidP="006A7CA4">
                  <w:pPr>
                    <w:numPr>
                      <w:ilvl w:val="2"/>
                      <w:numId w:val="20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Market momentum:</w:t>
                  </w: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Organic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retail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sales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increased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across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Europe, led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largest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national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markets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72E6BD6F" w14:textId="77777777" w:rsidR="00B115F9" w:rsidRPr="00B115F9" w:rsidRDefault="00B115F9" w:rsidP="006A7CA4">
                  <w:pPr>
                    <w:numPr>
                      <w:ilvl w:val="2"/>
                      <w:numId w:val="21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Consumption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:</w:t>
                  </w: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Switzerland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continued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set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benchmark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per-capita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consumption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market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(12.3%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food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retail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);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Denmark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Austria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(11.9%)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remained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leading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countries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market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8FE404A" w14:textId="77777777" w:rsidR="00B115F9" w:rsidRPr="00B115F9" w:rsidRDefault="00B115F9" w:rsidP="006A7CA4">
                  <w:pPr>
                    <w:numPr>
                      <w:ilvl w:val="2"/>
                      <w:numId w:val="22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Production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:</w:t>
                  </w: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Europe’s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remained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largely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unchanged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overall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differing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developments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across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countries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;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Spain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continued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have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largest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total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farmland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corresponding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13% of total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agricultural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). Conversion rate has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slowed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CF51F30" w14:textId="77777777" w:rsidR="00B115F9" w:rsidRPr="00B115F9" w:rsidRDefault="00B115F9" w:rsidP="006A7CA4">
                  <w:pPr>
                    <w:numPr>
                      <w:ilvl w:val="2"/>
                      <w:numId w:val="23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Challenges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organic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producers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:</w:t>
                  </w: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profitability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rising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costs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administrative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burden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policy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uncertainty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climate-related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risks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2BA5925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increase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consumer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demand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together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decrease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support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last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years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raise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invest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predictability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support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sector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long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term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11FA98B7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9.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Discussion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Report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implementation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Article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29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:u w:val="single"/>
                      <w14:ligatures w14:val="none"/>
                    </w:rPr>
                    <w:t xml:space="preserve"> (EU) 2018/848</w:t>
                  </w:r>
                </w:p>
                <w:p w14:paraId="55C167C4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: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Context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Organic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regulatory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framework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Organic as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certification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process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final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?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Unavoidable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strongarm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between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stakeholders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status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result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lengthy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complex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process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negotiation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between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after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Commission’s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77B6A863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Report:</w:t>
                  </w:r>
                </w:p>
                <w:p w14:paraId="3566C42B" w14:textId="77777777" w:rsidR="00B115F9" w:rsidRPr="00B115F9" w:rsidRDefault="00B115F9" w:rsidP="006A7CA4">
                  <w:pPr>
                    <w:numPr>
                      <w:ilvl w:val="2"/>
                      <w:numId w:val="24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discussion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consolidated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overview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acknowledges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-ideal </w:t>
                  </w:r>
                  <w:proofErr w:type="gram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</w:t>
                  </w:r>
                  <w:proofErr w:type="gram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conclusions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assessments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as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shortcomings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system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4280762B" w14:textId="77777777" w:rsidR="00B115F9" w:rsidRPr="00B115F9" w:rsidRDefault="00B115F9" w:rsidP="006A7CA4">
                  <w:pPr>
                    <w:numPr>
                      <w:ilvl w:val="2"/>
                      <w:numId w:val="25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Range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pesticide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non-compliances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– 0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4%.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Conventional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– 0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18%.</w:t>
                  </w:r>
                </w:p>
                <w:p w14:paraId="55423393" w14:textId="77777777" w:rsidR="00B115F9" w:rsidRPr="00B115F9" w:rsidRDefault="00B115F9" w:rsidP="006A7CA4">
                  <w:pPr>
                    <w:numPr>
                      <w:ilvl w:val="2"/>
                      <w:numId w:val="26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No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substantial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revision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system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Harmonisation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practices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between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MS (not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criteria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) is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one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needs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previously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mentioned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political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compromise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between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allowed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those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had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criteria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place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keep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them</w:t>
                  </w:r>
                  <w:proofErr w:type="spellEnd"/>
                </w:p>
                <w:p w14:paraId="67C17414" w14:textId="77777777" w:rsidR="00B115F9" w:rsidRPr="00B115F9" w:rsidRDefault="00B115F9" w:rsidP="006A7CA4">
                  <w:pPr>
                    <w:numPr>
                      <w:ilvl w:val="2"/>
                      <w:numId w:val="27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received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most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stakeholders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reasonably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convincing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positive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work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–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MEPs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COMAGRI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EP.</w:t>
                  </w:r>
                </w:p>
                <w:p w14:paraId="038F0FC4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Comments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context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ongoing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work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:</w:t>
                  </w:r>
                </w:p>
                <w:p w14:paraId="225C8648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Organic is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only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type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certified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 EU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mostly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harmonized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means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changes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considered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made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>functional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MS,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which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creates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highly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difficult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slow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discussions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aware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lack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harmonisation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some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processes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29834D9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considers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following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careful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processes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Organic EU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also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necessity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keep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integrity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quality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EU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supported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work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experts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stakeholders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2C6F8259" w14:textId="77777777" w:rsidR="006A7CA4" w:rsidRDefault="006A7CA4" w:rsidP="006A7CA4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3B38499F" w14:textId="4221F98E" w:rsidR="00B115F9" w:rsidRPr="00B115F9" w:rsidRDefault="00B115F9" w:rsidP="006A7CA4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22" w:history="1">
                    <w:r w:rsidRPr="00B115F9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Omnibus/Pesticides: draft Council position on Commission proposal for amending the MRLs Regulation</w:t>
                    </w:r>
                  </w:hyperlink>
                </w:p>
                <w:p w14:paraId="796D2EB4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has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received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ongoing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discussions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within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regarding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Commission's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MRLs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Omnibus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X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package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Food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Safety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extensively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past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circulars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signing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joint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position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paper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stakeholders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Agrifood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chain:</w:t>
                  </w:r>
                </w:p>
                <w:p w14:paraId="6CA59657" w14:textId="3B8C7698" w:rsidR="00B115F9" w:rsidRPr="00B115F9" w:rsidRDefault="006A7CA4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23" w:history="1">
                    <w:r w:rsidRPr="00E7114E">
                      <w:rPr>
                        <w:rStyle w:val="Kpr"/>
                        <w:rFonts w:ascii="Arial" w:eastAsia="Times New Roman" w:hAnsi="Arial" w:cs="Arial"/>
                        <w:kern w:val="0"/>
                        <w:bdr w:val="none" w:sz="0" w:space="0" w:color="auto" w:frame="1"/>
                        <w14:ligatures w14:val="none"/>
                      </w:rPr>
                      <w:t>https://www.frucom.eu/circulars/5902:pesticides-position-paper-on-the-role-of-ppps-in-balancing-eu-production,-imports,-and-exports-for-your-feedback.html</w:t>
                    </w:r>
                  </w:hyperlink>
                </w:p>
                <w:p w14:paraId="278577A0" w14:textId="4C825B75" w:rsidR="00B115F9" w:rsidRPr="00B115F9" w:rsidRDefault="006A7CA4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24" w:history="1">
                    <w:r w:rsidRPr="00E7114E">
                      <w:rPr>
                        <w:rStyle w:val="Kpr"/>
                        <w:rFonts w:ascii="Arial" w:eastAsia="Times New Roman" w:hAnsi="Arial" w:cs="Arial"/>
                        <w:kern w:val="0"/>
                        <w:bdr w:val="none" w:sz="0" w:space="0" w:color="auto" w:frame="1"/>
                        <w14:ligatures w14:val="none"/>
                      </w:rPr>
                      <w:t>https://www.frucom.eu/circulars/5735:omnibus-commission-publishes-proposal-on-omnibus-package-for-food-and-feed-safety.html</w:t>
                    </w:r>
                  </w:hyperlink>
                </w:p>
                <w:p w14:paraId="464AFDE1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discussions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reveal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three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distinct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positions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taken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45FA88E3" w14:textId="77777777" w:rsidR="00B115F9" w:rsidRPr="00B115F9" w:rsidRDefault="00B115F9" w:rsidP="006A7CA4">
                  <w:pPr>
                    <w:numPr>
                      <w:ilvl w:val="2"/>
                      <w:numId w:val="28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proofErr w:type="gram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one</w:t>
                  </w:r>
                  <w:proofErr w:type="spellEnd"/>
                  <w:proofErr w:type="gram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supporting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amendment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as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proposed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376258BD" w14:textId="77777777" w:rsidR="00B115F9" w:rsidRPr="00B115F9" w:rsidRDefault="00B115F9" w:rsidP="006A7CA4">
                  <w:pPr>
                    <w:numPr>
                      <w:ilvl w:val="2"/>
                      <w:numId w:val="29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gram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</w:t>
                  </w:r>
                  <w:proofErr w:type="gram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second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supporting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amendment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more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stringent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than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one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proposed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Commission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argued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risk-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approach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currently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not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aligned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precautionary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principle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not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approved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have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particularly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hazardous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properties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MRLs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agricultural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practices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third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countries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Codex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Alimentarius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should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automatically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lowered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technical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zero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2F31031" w14:textId="77777777" w:rsidR="00B115F9" w:rsidRPr="00B115F9" w:rsidRDefault="00B115F9" w:rsidP="006A7CA4">
                  <w:pPr>
                    <w:numPr>
                      <w:ilvl w:val="2"/>
                      <w:numId w:val="30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gram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</w:t>
                  </w:r>
                  <w:proofErr w:type="gram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third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group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supporting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maintain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status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quo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namely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reject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any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amendment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MRL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until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gram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general</w:t>
                  </w:r>
                  <w:proofErr w:type="gram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Impact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Assessment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(IA) has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been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carried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out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1C11738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Council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Presidency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has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concluded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its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position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in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draft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Compromise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text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:</w:t>
                  </w:r>
                </w:p>
                <w:p w14:paraId="77A49D00" w14:textId="77777777" w:rsidR="00B115F9" w:rsidRPr="00B115F9" w:rsidRDefault="00B115F9" w:rsidP="006A7CA4">
                  <w:pPr>
                    <w:numPr>
                      <w:ilvl w:val="2"/>
                      <w:numId w:val="31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Presidency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keeps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principle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lowering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existing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MRLs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technical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zero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substance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if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case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case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justifies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it</w:t>
                  </w: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also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broadens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scope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covered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not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only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particularly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hazardous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properties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but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also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substances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whose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specific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conditions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lead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unacceptable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risks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honeybees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groundwater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subject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an EFSA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assessment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1280B28" w14:textId="77777777" w:rsidR="00B115F9" w:rsidRPr="00B115F9" w:rsidRDefault="00B115F9" w:rsidP="006A7CA4">
                  <w:pPr>
                    <w:numPr>
                      <w:ilvl w:val="2"/>
                      <w:numId w:val="32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further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includes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 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term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“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import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tolerance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”</w:t>
                  </w: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previously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repealed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Commission's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defines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it as an MRL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agricultural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practices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(GAP),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whether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third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country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78409E46" w14:textId="77777777" w:rsidR="00B115F9" w:rsidRPr="00B115F9" w:rsidRDefault="00B115F9" w:rsidP="006A7CA4">
                  <w:pPr>
                    <w:numPr>
                      <w:ilvl w:val="2"/>
                      <w:numId w:val="33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new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MRLs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, 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transitional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arrangements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should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equally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apply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products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under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storage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in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third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2D2D38"/>
                      <w:kern w:val="0"/>
                      <w:u w:val="single"/>
                      <w14:ligatures w14:val="none"/>
                    </w:rPr>
                    <w:t>country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purpose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market,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offering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other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form of transfer,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ensure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equal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treatment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between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imported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domestic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204CBBB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lastRenderedPageBreak/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Permanent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Representatives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Committee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now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analysing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Presidency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Council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aims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achieve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agreement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mandate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negotiations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Parliament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"as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soon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possible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". </w:t>
                  </w:r>
                </w:p>
                <w:p w14:paraId="2BF1DFAA" w14:textId="77777777" w:rsidR="006A7CA4" w:rsidRDefault="006A7CA4" w:rsidP="006A7CA4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7F949A07" w14:textId="3E71B9CE" w:rsidR="00B115F9" w:rsidRPr="00B115F9" w:rsidRDefault="00B115F9" w:rsidP="006A7CA4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25" w:history="1">
                    <w:r w:rsidRPr="00B115F9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Corporate Sustainability Due Diligence: FRUCOM feedback on revised sustainability reporting standards</w:t>
                    </w:r>
                  </w:hyperlink>
                </w:p>
                <w:p w14:paraId="02E6003F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feedback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an EU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voluntary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standard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companies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 See: </w:t>
                  </w:r>
                  <w:hyperlink r:id="rId26" w:history="1">
                    <w:r w:rsidRPr="00B115F9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https://ec.europa.eu/info/law/better-regulation/have-your-say/initiatives/17232-Sustainability-reporting-standard-for-voluntary-use/F33441912_en</w:t>
                    </w:r>
                  </w:hyperlink>
                </w:p>
                <w:p w14:paraId="4CA4348C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Specifically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voluntary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standards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concern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sustainability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companies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not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subject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mandatory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CSRD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requirements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introducing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“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value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chain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cap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”: CSRD in</w:t>
                  </w: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noBreakHyphen/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scope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companies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cannot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require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value</w:t>
                  </w: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noBreakHyphen/>
                    <w:t>chain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partners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1000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employees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less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beyond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what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set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out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voluntary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standard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280B986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draft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voluntary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standard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 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begin"/>
                  </w: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instrText>HYPERLINK "https://finance.ec.europa.eu/news/feedback-sustainability-reporting-standards-additional-explanatory-information-regarding-value-chain-2026-05-06_en"</w:instrText>
                  </w: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separate"/>
                  </w:r>
                  <w:r w:rsidRPr="00B115F9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EFRAG’s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2024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voluntary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SME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>standard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0087B9"/>
                      <w:kern w:val="0"/>
                      <w:bdr w:val="none" w:sz="0" w:space="0" w:color="auto" w:frame="1"/>
                      <w14:ligatures w14:val="none"/>
                    </w:rPr>
                    <w:t xml:space="preserve"> (VSME)</w:t>
                  </w: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fldChar w:fldCharType="end"/>
                  </w: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which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endorsed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through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recommendation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2025.</w:t>
                  </w:r>
                </w:p>
                <w:p w14:paraId="2F5A3248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FRUCOM’s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feedback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focused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increase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size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cap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companies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required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least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amount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line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voluntary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standard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companies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initial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size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cap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companies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10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employees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less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proposes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that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should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revised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companies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50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employees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less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line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definition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size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small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companies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3247BD83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information: </w:t>
                  </w:r>
                  <w:hyperlink r:id="rId27" w:history="1">
                    <w:r w:rsidRPr="00B115F9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https://finance.ec.europa.eu/news/commission-seeks-feedback-revised-sustainability-reporting-standards-2026-05-06_en</w:t>
                    </w:r>
                  </w:hyperlink>
                </w:p>
                <w:p w14:paraId="1AE48928" w14:textId="77777777" w:rsidR="006A7CA4" w:rsidRDefault="006A7CA4" w:rsidP="006A7CA4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3B088D25" w14:textId="791E4FB3" w:rsidR="00B115F9" w:rsidRPr="00B115F9" w:rsidRDefault="00B115F9" w:rsidP="006A7CA4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28" w:history="1">
                    <w:r w:rsidRPr="00B115F9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Official controls: Commission draft Increased Controls revision (June 2026)</w:t>
                    </w:r>
                  </w:hyperlink>
                </w:p>
                <w:p w14:paraId="521B8CF9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has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shared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draft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Increased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revision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amending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Implementing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Regulation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(EU) 2019/1793 as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regards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temporary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increase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controls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emergency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measures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governing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entry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Union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 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goods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certain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third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countries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05FBFFB5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changes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relevant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2F8D6EAA" w14:textId="77777777" w:rsidR="00B115F9" w:rsidRPr="00B115F9" w:rsidRDefault="00B115F9" w:rsidP="006A7CA4">
                  <w:pPr>
                    <w:numPr>
                      <w:ilvl w:val="2"/>
                      <w:numId w:val="34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Annex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 -</w:t>
                  </w:r>
                  <w:proofErr w:type="gram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Groundnuts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produced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groundnuts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Argentina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(20%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checks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aflatoxins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).</w:t>
                  </w:r>
                </w:p>
                <w:p w14:paraId="5FDB342A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official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publication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expected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weeks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drafts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are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:</w:t>
                  </w:r>
                </w:p>
                <w:p w14:paraId="776D293D" w14:textId="5024F6B0" w:rsidR="00B115F9" w:rsidRPr="00B115F9" w:rsidRDefault="006A7CA4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29" w:history="1">
                    <w:r w:rsidRPr="00E7114E">
                      <w:rPr>
                        <w:rStyle w:val="Kpr"/>
                        <w:rFonts w:ascii="Arial" w:eastAsia="Times New Roman" w:hAnsi="Arial" w:cs="Arial"/>
                        <w:kern w:val="0"/>
                        <w:bdr w:val="none" w:sz="0" w:space="0" w:color="auto" w:frame="1"/>
                        <w14:ligatures w14:val="none"/>
                      </w:rPr>
                      <w:t>https://ec.europa.eu/transparency/comitology-register/core/api/integration/ers/532143/115229/1/attachment</w:t>
                    </w:r>
                  </w:hyperlink>
                </w:p>
                <w:p w14:paraId="31D3FE46" w14:textId="3CCEBAA9" w:rsidR="00B115F9" w:rsidRPr="00B115F9" w:rsidRDefault="006A7CA4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30" w:history="1">
                    <w:r w:rsidRPr="00E7114E">
                      <w:rPr>
                        <w:rStyle w:val="Kpr"/>
                        <w:rFonts w:ascii="Arial" w:eastAsia="Times New Roman" w:hAnsi="Arial" w:cs="Arial"/>
                        <w:kern w:val="0"/>
                        <w:bdr w:val="none" w:sz="0" w:space="0" w:color="auto" w:frame="1"/>
                        <w14:ligatures w14:val="none"/>
                      </w:rPr>
                      <w:t>https://ec.europa.eu/transparency/comitology-register/core/api/integration/ers/532144/115229/1/attachment</w:t>
                    </w:r>
                  </w:hyperlink>
                </w:p>
                <w:p w14:paraId="1A201557" w14:textId="77777777" w:rsidR="006A7CA4" w:rsidRDefault="006A7CA4" w:rsidP="006A7CA4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0CEA37F3" w14:textId="4E07BE65" w:rsidR="00B115F9" w:rsidRPr="00B115F9" w:rsidRDefault="00B115F9" w:rsidP="006A7CA4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31" w:history="1">
                    <w:r w:rsidRPr="00B115F9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Contaminants: upcoming webinar on new MOAH maximum levels</w:t>
                    </w:r>
                  </w:hyperlink>
                </w:p>
                <w:p w14:paraId="10711E4D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platform AGRINFO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organize a webinar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new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EU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rules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MOAH,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expected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apply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1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January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2027.</w:t>
                  </w:r>
                </w:p>
                <w:p w14:paraId="5EA42C37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topic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was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addressed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previous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FRUCOM circular: </w:t>
                  </w:r>
                  <w:hyperlink r:id="rId32" w:history="1">
                    <w:r w:rsidRPr="00B115F9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https://www.frucom.eu/circulars/5957:contaminants-draft-mineral-oils-moh-levels-approved-by-member-states-in-standing-committee-meeting.html</w:t>
                    </w:r>
                  </w:hyperlink>
                </w:p>
                <w:p w14:paraId="5B411551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webinar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presentations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on:</w:t>
                  </w:r>
                </w:p>
                <w:p w14:paraId="6ADBAE5F" w14:textId="77777777" w:rsidR="00B115F9" w:rsidRPr="00B115F9" w:rsidRDefault="00B115F9" w:rsidP="006A7CA4">
                  <w:pPr>
                    <w:numPr>
                      <w:ilvl w:val="2"/>
                      <w:numId w:val="35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new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maximum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levels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MOAH,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recommendations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mineral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oil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saturated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hydrocarbons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(MOSH)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gram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MOAH -</w:t>
                  </w:r>
                  <w:proofErr w:type="gram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Veerle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Vanheusden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Directorate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-General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Health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&amp; Food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Safety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Commission</w:t>
                  </w:r>
                  <w:proofErr w:type="spellEnd"/>
                </w:p>
                <w:p w14:paraId="08BD6C93" w14:textId="77777777" w:rsidR="00B115F9" w:rsidRPr="00B115F9" w:rsidRDefault="00B115F9" w:rsidP="006A7CA4">
                  <w:pPr>
                    <w:numPr>
                      <w:ilvl w:val="2"/>
                      <w:numId w:val="36"/>
                    </w:numPr>
                    <w:tabs>
                      <w:tab w:val="clear" w:pos="2160"/>
                      <w:tab w:val="num" w:pos="1843"/>
                    </w:tabs>
                    <w:spacing w:after="120" w:line="240" w:lineRule="auto"/>
                    <w:ind w:left="567" w:hanging="283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Potential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challenges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strategies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developed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comply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new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proofErr w:type="gram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rules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-</w:t>
                  </w:r>
                  <w:proofErr w:type="gram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Claus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-Michael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Brieber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Senior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Quality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Expert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Food, Food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Safety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First</w:t>
                  </w:r>
                </w:p>
                <w:p w14:paraId="65FAF2D4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webinar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in English,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French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Spanish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interpretation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6742AE64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information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including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registration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links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is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available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at: </w:t>
                  </w:r>
                  <w:hyperlink r:id="rId33" w:history="1">
                    <w:r w:rsidRPr="00B115F9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https://agrinfo.eu/book-of-reports/agrinfo-webinar-new-eu-rules-for-mineral-oil-aromatic-hydrocarbons/</w:t>
                    </w:r>
                  </w:hyperlink>
                </w:p>
                <w:p w14:paraId="3AFB2127" w14:textId="77777777" w:rsidR="006A7CA4" w:rsidRDefault="006A7CA4" w:rsidP="006A7CA4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  <w:p w14:paraId="3A4DEB0C" w14:textId="32E5F52A" w:rsidR="00B115F9" w:rsidRPr="00B115F9" w:rsidRDefault="00B115F9" w:rsidP="006A7CA4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34" w:history="1">
                    <w:r w:rsidRPr="00B115F9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RASFF NOTIFICATION: 2026/23 (01/06/</w:t>
                    </w:r>
                    <w:proofErr w:type="gramStart"/>
                    <w:r w:rsidRPr="00B115F9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2026 -</w:t>
                    </w:r>
                    <w:proofErr w:type="gramEnd"/>
                    <w:r w:rsidRPr="00B115F9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 07/06/2026)</w:t>
                    </w:r>
                  </w:hyperlink>
                </w:p>
                <w:p w14:paraId="5A3EF576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FRUCOM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compiling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RASFF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notifications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week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2026/23 (01/06/</w:t>
                  </w:r>
                  <w:proofErr w:type="gram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2026 -</w:t>
                  </w:r>
                  <w:proofErr w:type="gram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07/06/2026).</w:t>
                  </w:r>
                </w:p>
                <w:p w14:paraId="3C5BA25C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Information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provided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report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based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RASFF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notifications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published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DG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SANTE’s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online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database</w:t>
                  </w:r>
                  <w:proofErr w:type="spellEnd"/>
                </w:p>
                <w:p w14:paraId="22706BE1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35" w:history="1">
                    <w:r w:rsidRPr="00B115F9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FRUCOMRASFF</w:t>
                    </w:r>
                    <w:r w:rsidRPr="00B115F9">
                      <w:rPr>
                        <w:rFonts w:ascii="Arial" w:eastAsia="Times New Roman" w:hAnsi="Arial" w:cs="Arial"/>
                        <w:color w:val="0087B9"/>
                        <w:kern w:val="0"/>
                        <w:bdr w:val="none" w:sz="0" w:space="0" w:color="auto" w:frame="1"/>
                        <w14:ligatures w14:val="none"/>
                      </w:rPr>
                      <w:t>2026_Week23</w:t>
                    </w:r>
                  </w:hyperlink>
                  <w:hyperlink r:id="rId36" w:history="1">
                    <w:r w:rsidRPr="00B115F9">
                      <w:rPr>
                        <w:rFonts w:ascii="Arial" w:eastAsia="Times New Roman" w:hAnsi="Arial" w:cs="Arial"/>
                        <w:color w:val="2D2D38"/>
                        <w:kern w:val="0"/>
                        <w:bdr w:val="none" w:sz="0" w:space="0" w:color="auto" w:frame="1"/>
                        <w14:ligatures w14:val="none"/>
                      </w:rPr>
                      <w:br/>
                    </w:r>
                  </w:hyperlink>
                </w:p>
                <w:p w14:paraId="40CE66D9" w14:textId="77777777" w:rsidR="00B115F9" w:rsidRPr="006A7CA4" w:rsidRDefault="00B115F9" w:rsidP="006A7CA4">
                  <w:pPr>
                    <w:spacing w:after="120" w:line="240" w:lineRule="auto"/>
                    <w:jc w:val="both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</w:pPr>
                  <w:r w:rsidRPr="006A7CA4">
                    <w:rPr>
                      <w:rFonts w:ascii="Arial" w:eastAsia="Times New Roman" w:hAnsi="Arial" w:cs="Arial"/>
                      <w:b/>
                      <w:bCs/>
                      <w:color w:val="FF8C00"/>
                      <w:kern w:val="0"/>
                      <w14:ligatures w14:val="none"/>
                    </w:rPr>
                    <w:t>DRIED FRUIT &amp; NUTS</w:t>
                  </w:r>
                </w:p>
                <w:p w14:paraId="494C56DE" w14:textId="77777777" w:rsidR="00B115F9" w:rsidRPr="00B115F9" w:rsidRDefault="00B115F9" w:rsidP="006A7CA4">
                  <w:pPr>
                    <w:spacing w:after="120" w:line="240" w:lineRule="auto"/>
                    <w:jc w:val="both"/>
                    <w:outlineLvl w:val="2"/>
                    <w:rPr>
                      <w:rFonts w:ascii="Arial" w:eastAsia="Times New Roman" w:hAnsi="Arial" w:cs="Arial"/>
                      <w:b/>
                      <w:bCs/>
                      <w:caps/>
                      <w:color w:val="333333"/>
                      <w:kern w:val="0"/>
                      <w14:ligatures w14:val="none"/>
                    </w:rPr>
                  </w:pPr>
                  <w:hyperlink r:id="rId37" w:history="1">
                    <w:r w:rsidRPr="00B115F9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Contaminants: Upcoming FRUCOM meeting on dried figs from </w:t>
                    </w:r>
                    <w:proofErr w:type="gramStart"/>
                    <w:r w:rsidRPr="00B115F9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>Türkiye -</w:t>
                    </w:r>
                    <w:proofErr w:type="gramEnd"/>
                    <w:r w:rsidRPr="00B115F9">
                      <w:rPr>
                        <w:rFonts w:ascii="Arial" w:eastAsia="Times New Roman" w:hAnsi="Arial" w:cs="Arial"/>
                        <w:b/>
                        <w:bCs/>
                        <w:caps/>
                        <w:color w:val="333333"/>
                        <w:kern w:val="0"/>
                        <w:bdr w:val="none" w:sz="0" w:space="0" w:color="auto" w:frame="1"/>
                        <w14:ligatures w14:val="none"/>
                      </w:rPr>
                      <w:t xml:space="preserve"> For your input</w:t>
                    </w:r>
                  </w:hyperlink>
                </w:p>
                <w:p w14:paraId="10AD59CB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FRUCOM is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organising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members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discuss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state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figs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from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 Türkiye, in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coordination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Aegean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Exporters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Association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 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goal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is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exchange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ideas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how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move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forward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with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European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authorities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topics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of 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dried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figs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and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mycotoxins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(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aflatoxins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, OTA,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Alternaria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).</w:t>
                  </w:r>
                </w:p>
                <w:p w14:paraId="655A7DBC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This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take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place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online,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via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Teams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. A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meeting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invitation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will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be sent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after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scheduling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.</w:t>
                  </w:r>
                </w:p>
                <w:p w14:paraId="5B968FF4" w14:textId="77777777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Please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indicate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your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availability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using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the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 xml:space="preserve"> link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below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  <w:t> 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until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Friday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 xml:space="preserve">, 12 </w:t>
                  </w:r>
                  <w:proofErr w:type="spellStart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June</w:t>
                  </w:r>
                  <w:proofErr w:type="spellEnd"/>
                  <w:r w:rsidRPr="00B115F9">
                    <w:rPr>
                      <w:rFonts w:ascii="Arial" w:eastAsia="Times New Roman" w:hAnsi="Arial" w:cs="Arial"/>
                      <w:b/>
                      <w:bCs/>
                      <w:color w:val="2D2D38"/>
                      <w:kern w:val="0"/>
                      <w14:ligatures w14:val="none"/>
                    </w:rPr>
                    <w:t>:</w:t>
                  </w:r>
                </w:p>
                <w:p w14:paraId="3A1D6ABE" w14:textId="2CBD9D78" w:rsidR="00B115F9" w:rsidRPr="00B115F9" w:rsidRDefault="006A7CA4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  <w:hyperlink r:id="rId38" w:history="1">
                    <w:r w:rsidRPr="00E7114E">
                      <w:rPr>
                        <w:rStyle w:val="Kpr"/>
                        <w:rFonts w:ascii="Arial" w:eastAsia="Times New Roman" w:hAnsi="Arial" w:cs="Arial"/>
                        <w:kern w:val="0"/>
                        <w:bdr w:val="none" w:sz="0" w:space="0" w:color="auto" w:frame="1"/>
                        <w14:ligatures w14:val="none"/>
                      </w:rPr>
                      <w:t>https://doodle.com/group-poll/participate/dBX3y0na</w:t>
                    </w:r>
                  </w:hyperlink>
                </w:p>
                <w:p w14:paraId="1594D278" w14:textId="3251071F" w:rsidR="00B115F9" w:rsidRPr="00B115F9" w:rsidRDefault="00B115F9" w:rsidP="006A7CA4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</w:tc>
            </w:tr>
            <w:tr w:rsidR="00B115F9" w:rsidRPr="00B115F9" w14:paraId="6CFF056D" w14:textId="77777777">
              <w:trPr>
                <w:trHeight w:val="750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1EC9AE5" w14:textId="77777777" w:rsidR="00B115F9" w:rsidRPr="00B115F9" w:rsidRDefault="00B115F9" w:rsidP="00B115F9">
                  <w:pPr>
                    <w:spacing w:after="120" w:line="240" w:lineRule="auto"/>
                    <w:jc w:val="both"/>
                    <w:rPr>
                      <w:rFonts w:ascii="Arial" w:eastAsia="Times New Roman" w:hAnsi="Arial" w:cs="Arial"/>
                      <w:color w:val="333333"/>
                      <w:kern w:val="0"/>
                      <w14:ligatures w14:val="none"/>
                    </w:rPr>
                  </w:pPr>
                </w:p>
              </w:tc>
            </w:tr>
          </w:tbl>
          <w:p w14:paraId="0E801652" w14:textId="77777777" w:rsidR="00B115F9" w:rsidRPr="00B115F9" w:rsidRDefault="00B115F9" w:rsidP="00B115F9">
            <w:pPr>
              <w:spacing w:after="120" w:line="240" w:lineRule="auto"/>
              <w:jc w:val="both"/>
              <w:rPr>
                <w:rFonts w:ascii="Arial" w:eastAsia="Times New Roman" w:hAnsi="Arial" w:cs="Arial"/>
                <w:color w:val="2D2D38"/>
                <w:kern w:val="0"/>
                <w14:ligatures w14:val="none"/>
              </w:rPr>
            </w:pPr>
          </w:p>
        </w:tc>
      </w:tr>
    </w:tbl>
    <w:p w14:paraId="2840356C" w14:textId="77777777" w:rsidR="00171A74" w:rsidRPr="00B115F9" w:rsidRDefault="00171A74" w:rsidP="00B115F9">
      <w:pPr>
        <w:spacing w:after="120" w:line="240" w:lineRule="auto"/>
        <w:jc w:val="both"/>
      </w:pPr>
    </w:p>
    <w:sectPr w:rsidR="00171A74" w:rsidRPr="00B11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E6789"/>
    <w:multiLevelType w:val="multilevel"/>
    <w:tmpl w:val="61DCB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A64265"/>
    <w:multiLevelType w:val="multilevel"/>
    <w:tmpl w:val="CA74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3C1BF2"/>
    <w:multiLevelType w:val="multilevel"/>
    <w:tmpl w:val="B7E8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8049160">
    <w:abstractNumId w:val="0"/>
  </w:num>
  <w:num w:numId="2" w16cid:durableId="637808848">
    <w:abstractNumId w:val="1"/>
  </w:num>
  <w:num w:numId="3" w16cid:durableId="1559438077">
    <w:abstractNumId w:val="2"/>
  </w:num>
  <w:num w:numId="4" w16cid:durableId="201248657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5" w16cid:durableId="75127029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6" w16cid:durableId="1659771476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7" w16cid:durableId="1105927254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8" w16cid:durableId="1224369135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 w16cid:durableId="93698407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0" w16cid:durableId="143636138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1" w16cid:durableId="1189023935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 w16cid:durableId="790171445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3" w16cid:durableId="51434724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4" w16cid:durableId="128268764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5" w16cid:durableId="146592519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6" w16cid:durableId="128106356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7" w16cid:durableId="223374010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 w16cid:durableId="1709524332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9" w16cid:durableId="125770915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0" w16cid:durableId="71343356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1" w16cid:durableId="775292004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2" w16cid:durableId="856578650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3" w16cid:durableId="121689466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4" w16cid:durableId="701983410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5" w16cid:durableId="196183869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6" w16cid:durableId="61174292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7" w16cid:durableId="13037108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8" w16cid:durableId="786897957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29" w16cid:durableId="2022588826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0" w16cid:durableId="628366303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1" w16cid:durableId="149672507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2" w16cid:durableId="413092168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3" w16cid:durableId="1246382294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4" w16cid:durableId="369037655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5" w16cid:durableId="833375181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36" w16cid:durableId="1892576709">
    <w:abstractNumId w:val="2"/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F17"/>
    <w:rsid w:val="00090D4A"/>
    <w:rsid w:val="000D2445"/>
    <w:rsid w:val="00171A74"/>
    <w:rsid w:val="002128E8"/>
    <w:rsid w:val="004D4F17"/>
    <w:rsid w:val="00563627"/>
    <w:rsid w:val="005D0079"/>
    <w:rsid w:val="006A7CA4"/>
    <w:rsid w:val="007D6A04"/>
    <w:rsid w:val="00884992"/>
    <w:rsid w:val="008D3C20"/>
    <w:rsid w:val="00AC43BB"/>
    <w:rsid w:val="00B115F9"/>
    <w:rsid w:val="00E65F97"/>
    <w:rsid w:val="00E918FC"/>
    <w:rsid w:val="00F8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C52DB"/>
  <w15:chartTrackingRefBased/>
  <w15:docId w15:val="{E6E0B928-5BFE-4FD4-B8DA-43A73C4F3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4F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4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4F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4F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4F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4F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4F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4F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4F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4F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4F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4F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4F17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4F17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4F1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4F1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4F1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4F1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4F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4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4F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4F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4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4F1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4F1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4F17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4F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4F1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4F17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6A7CA4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6A7C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https://ec.europa.eu/info/law/better-regulation/have-your-say/initiatives/17232-Sustainability-reporting-standard-for-voluntary-use/F33441912_en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frucom.eu/component/attachments/attachments.html?task=attachment&amp;id=3042" TargetMode="External"/><Relationship Id="rId34" Type="http://schemas.openxmlformats.org/officeDocument/2006/relationships/hyperlink" Target="javascript:void(0);" TargetMode="Externa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https://www.europarl.europa.eu/meetdocs/2024_2029/plmrep/COMMITTEES/INTA/AG/2026/06-02/1344387EN.pdf" TargetMode="External"/><Relationship Id="rId25" Type="http://schemas.openxmlformats.org/officeDocument/2006/relationships/hyperlink" Target="javascript:void(0);" TargetMode="External"/><Relationship Id="rId33" Type="http://schemas.openxmlformats.org/officeDocument/2006/relationships/hyperlink" Target="https://agrinfo.eu/book-of-reports/agrinfo-webinar-new-eu-rules-for-mineral-oil-aromatic-hydrocarbons/" TargetMode="External"/><Relationship Id="rId38" Type="http://schemas.openxmlformats.org/officeDocument/2006/relationships/hyperlink" Target="https://doodle.com/group-poll/participate/dBX3y0na" TargetMode="External"/><Relationship Id="rId2" Type="http://schemas.openxmlformats.org/officeDocument/2006/relationships/styles" Target="styles.xml"/><Relationship Id="rId16" Type="http://schemas.openxmlformats.org/officeDocument/2006/relationships/hyperlink" Target="mailto:lmofolo@frucom.eu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https://ec.europa.eu/transparency/comitology-register/core/api/integration/ers/532143/115229/1/attachment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https://www.frucom.eu/circulars/5735:omnibus-commission-publishes-proposal-on-omnibus-package-for-food-and-feed-safety.html" TargetMode="External"/><Relationship Id="rId32" Type="http://schemas.openxmlformats.org/officeDocument/2006/relationships/hyperlink" Target="https://frucom.eu/circulars/5957:contaminants-draft-mineral-oils-moh-levels-approved-by-member-states-in-standing-committee-meeting.html" TargetMode="External"/><Relationship Id="rId37" Type="http://schemas.openxmlformats.org/officeDocument/2006/relationships/hyperlink" Target="javascript:void(0);" TargetMode="External"/><Relationship Id="rId40" Type="http://schemas.openxmlformats.org/officeDocument/2006/relationships/theme" Target="theme/theme1.xm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https://trade.ec.europa.eu/access-to-markets/en/content/direct-transport-or-non-manipulation-or-non-alteration-rules" TargetMode="External"/><Relationship Id="rId23" Type="http://schemas.openxmlformats.org/officeDocument/2006/relationships/hyperlink" Target="https://www.frucom.eu/circulars/5902:pesticides-position-paper-on-the-role-of-ppps-in-balancing-eu-production,-imports,-and-exports-for-your-feedback.html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https://frucom.eu/component/attachments/attachments.html?task=attachment&amp;id=3022" TargetMode="External"/><Relationship Id="rId10" Type="http://schemas.openxmlformats.org/officeDocument/2006/relationships/hyperlink" Target="javascript:void(0);" TargetMode="External"/><Relationship Id="rId19" Type="http://schemas.openxmlformats.org/officeDocument/2006/relationships/hyperlink" Target="https://www.europarl.europa.eu/news/en/press-room/20260601IPR44415/trade-committee-approves-deal-on-eu-us-trade-agreement" TargetMode="External"/><Relationship Id="rId31" Type="http://schemas.openxmlformats.org/officeDocument/2006/relationships/hyperlink" Target="javascript:void(0)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https://finance.ec.europa.eu/news/commission-seeks-feedback-revised-sustainability-reporting-standards-2026-05-06_en" TargetMode="External"/><Relationship Id="rId30" Type="http://schemas.openxmlformats.org/officeDocument/2006/relationships/hyperlink" Target="https://ec.europa.eu/transparency/comitology-register/core/api/integration/ers/532144/115229/1/attachment" TargetMode="External"/><Relationship Id="rId35" Type="http://schemas.openxmlformats.org/officeDocument/2006/relationships/hyperlink" Target="https://frucom.eu/component/attachments/attachments.html?task=attachment&amp;id=3041" TargetMode="External"/><Relationship Id="rId8" Type="http://schemas.openxmlformats.org/officeDocument/2006/relationships/hyperlink" Target="javascript:void(0);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3277</Words>
  <Characters>18682</Characters>
  <Application>Microsoft Office Word</Application>
  <DocSecurity>0</DocSecurity>
  <Lines>155</Lines>
  <Paragraphs>43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Bilge Turk</dc:creator>
  <cp:keywords/>
  <dc:description/>
  <cp:lastModifiedBy>Bilge Turk</cp:lastModifiedBy>
  <cp:revision>2</cp:revision>
  <dcterms:created xsi:type="dcterms:W3CDTF">2026-06-09T06:21:00Z</dcterms:created>
  <dcterms:modified xsi:type="dcterms:W3CDTF">2026-06-09T06:21:00Z</dcterms:modified>
</cp:coreProperties>
</file>