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F4E75" w:rsidRPr="003F4E75" w14:paraId="43473B92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F4E75" w:rsidRPr="003F4E75" w14:paraId="77BE0DC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1C3BF10B" w14:textId="77777777" w:rsidR="003F4E75" w:rsidRPr="003F4E75" w:rsidRDefault="003F4E75" w:rsidP="003F4E75">
                  <w:pPr>
                    <w:spacing w:after="120" w:line="240" w:lineRule="auto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</w:pPr>
                  <w:r w:rsidRPr="003F4E75"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  <w:t>FRUCOM NEWSLETTER 27/04/2026</w:t>
                  </w:r>
                </w:p>
                <w:p w14:paraId="429AF42F" w14:textId="77777777" w:rsidR="003F4E75" w:rsidRPr="003F4E75" w:rsidRDefault="003F4E75" w:rsidP="003F4E75">
                  <w:pPr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FRUCOM ACTIVITIES</w:t>
                  </w:r>
                </w:p>
                <w:p w14:paraId="4D9689F6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5" w:history="1"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Fruit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Nuts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21 </w:t>
                    </w:r>
                    <w:proofErr w:type="gram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April -</w:t>
                    </w:r>
                    <w:proofErr w:type="gram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Meeting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notes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presentations</w:t>
                    </w:r>
                    <w:proofErr w:type="spellEnd"/>
                  </w:hyperlink>
                </w:p>
                <w:p w14:paraId="233788DF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6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Doodle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FRUCOM online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Working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</w:hyperlink>
                </w:p>
                <w:p w14:paraId="248A9912" w14:textId="77777777" w:rsidR="003F4E75" w:rsidRPr="003F4E75" w:rsidRDefault="003F4E75" w:rsidP="003F4E75">
                  <w:pPr>
                    <w:numPr>
                      <w:ilvl w:val="0"/>
                      <w:numId w:val="1"/>
                    </w:numPr>
                    <w:spacing w:after="120" w:line="240" w:lineRule="auto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741F1B02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7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European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vote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updated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Generalised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scheme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tariff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preferences</w:t>
                    </w:r>
                    <w:proofErr w:type="spellEnd"/>
                  </w:hyperlink>
                </w:p>
                <w:p w14:paraId="685C02E7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8" w:history="1"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FRUCOM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Questions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Answers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How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address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challenges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related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Autonomous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Duty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Suspension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Autonomous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Quotas</w:t>
                    </w:r>
                    <w:proofErr w:type="spellEnd"/>
                  </w:hyperlink>
                </w:p>
                <w:p w14:paraId="2CE83667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9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Additives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EFSA </w:t>
                    </w:r>
                    <w:proofErr w:type="gram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data</w:t>
                    </w:r>
                    <w:proofErr w:type="gram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collection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potassium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sorbate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among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others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637BE921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0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NGTs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Council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adopts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New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Genomic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Techniques</w:t>
                    </w:r>
                    <w:proofErr w:type="spellEnd"/>
                  </w:hyperlink>
                </w:p>
                <w:p w14:paraId="23AB7D6B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1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proposal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lower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MRLs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benomyl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carbendazim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thiophanate</w:t>
                    </w:r>
                    <w:r w:rsidRPr="003F4E75">
                      <w:rPr>
                        <w:rFonts w:ascii="Cambria Math" w:eastAsia="Times New Roman" w:hAnsi="Cambria Math" w:cs="Cambria Math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‐</w:t>
                    </w:r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methyl</w:t>
                    </w:r>
                    <w:proofErr w:type="spellEnd"/>
                  </w:hyperlink>
                </w:p>
                <w:p w14:paraId="04F730F7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2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publishes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MRLs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acetamiprid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aclonifen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deltamethrin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oxathiapiprolin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potassium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phosphonates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in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certain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products</w:t>
                    </w:r>
                    <w:proofErr w:type="spellEnd"/>
                  </w:hyperlink>
                </w:p>
                <w:p w14:paraId="1A1E24F6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3" w:history="1"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Agendas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with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Member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States</w:t>
                    </w:r>
                    <w:proofErr w:type="spell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18-19 May</w:t>
                    </w:r>
                  </w:hyperlink>
                </w:p>
                <w:p w14:paraId="117CB1CF" w14:textId="77777777" w:rsidR="003F4E75" w:rsidRPr="003F4E75" w:rsidRDefault="003F4E75" w:rsidP="003F4E75">
                  <w:pPr>
                    <w:numPr>
                      <w:ilvl w:val="1"/>
                      <w:numId w:val="1"/>
                    </w:num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4" w:history="1"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2026/17 (20/04/</w:t>
                    </w:r>
                    <w:proofErr w:type="gramStart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3F4E75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26/04/2026)</w:t>
                    </w:r>
                  </w:hyperlink>
                </w:p>
              </w:tc>
            </w:tr>
            <w:tr w:rsidR="003F4E75" w:rsidRPr="003F4E75" w14:paraId="46FF670C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23018D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4F21159E" w14:textId="77777777" w:rsidR="003F4E75" w:rsidRPr="003F4E75" w:rsidRDefault="003F4E75" w:rsidP="003F4E75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3F4E75" w:rsidRPr="003F4E75" w14:paraId="4A0395B3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F4E75" w:rsidRPr="003F4E75" w14:paraId="0AE1E590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EC51C78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3F4E75" w:rsidRPr="003F4E75" w14:paraId="2B67DDD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30811C" w14:textId="77777777" w:rsidR="003F4E75" w:rsidRPr="003F4E75" w:rsidRDefault="003F4E75" w:rsidP="003F4E75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FRUCOM ACTIVITIES</w:t>
                  </w:r>
                </w:p>
                <w:p w14:paraId="3AD5C0B3" w14:textId="77777777" w:rsidR="003F4E75" w:rsidRPr="003F4E75" w:rsidRDefault="003F4E75" w:rsidP="003F4E75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5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FRUCOM Dried Fruit and Nuts Working Group 21 </w:t>
                    </w:r>
                    <w:proofErr w:type="gramStart"/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April -</w:t>
                    </w:r>
                    <w:proofErr w:type="gramEnd"/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Meeting notes and presentations</w:t>
                    </w:r>
                  </w:hyperlink>
                </w:p>
                <w:p w14:paraId="354E6F57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held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Fruits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Nuts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 on 21 April. </w:t>
                  </w:r>
                </w:p>
                <w:p w14:paraId="1D122E0E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Heidi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Moens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Food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Technologies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Novel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Foods, DG SANTE,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delivered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SO2,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Alternaria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Acrylamide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Sorbates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(EFSA data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D7D9392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6" w:history="1"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FRUCOM_Sulfites_EFSA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calls_contaminants_21 04 2026</w:t>
                    </w:r>
                  </w:hyperlink>
                </w:p>
                <w:p w14:paraId="359322A1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team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Food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contaminants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Nutrition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8A4451D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7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DFN PPP</w:t>
                    </w:r>
                  </w:hyperlink>
                </w:p>
                <w:p w14:paraId="00FC6672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EU-US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/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cranberries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;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DF2CF05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18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WG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fruit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nuts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_ 21 April 2026_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and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Summary</w:t>
                    </w:r>
                    <w:proofErr w:type="spellEnd"/>
                  </w:hyperlink>
                </w:p>
                <w:p w14:paraId="292A34B8" w14:textId="5E3F9D84" w:rsidR="003F4E75" w:rsidRPr="003F4E75" w:rsidRDefault="003F4E75" w:rsidP="003F4E75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 </w:t>
                  </w:r>
                </w:p>
                <w:p w14:paraId="5335424C" w14:textId="77777777" w:rsidR="003F4E75" w:rsidRPr="003F4E75" w:rsidRDefault="003F4E75" w:rsidP="003F4E75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9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Doodle: FRUCOM online Sustainability Working Group meeting in June</w:t>
                    </w:r>
                  </w:hyperlink>
                </w:p>
                <w:p w14:paraId="3D3D3414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preferred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doodle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link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Friday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22 May.</w:t>
                  </w:r>
                </w:p>
                <w:p w14:paraId="7003AE44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15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Tuesday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Wednesday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17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th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22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nd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Tuesday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23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vertAlign w:val="superscript"/>
                      <w14:ligatures w14:val="none"/>
                    </w:rPr>
                    <w:t>rd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starting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16h30 CET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time).</w:t>
                  </w:r>
                </w:p>
                <w:p w14:paraId="58416016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20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https://doodle.com/group-poll/participate/bDZKMLye</w:t>
                    </w:r>
                  </w:hyperlink>
                </w:p>
                <w:p w14:paraId="5F100FB8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be:</w:t>
                  </w:r>
                </w:p>
                <w:p w14:paraId="0637FCFC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Play of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affecting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</w:p>
                <w:p w14:paraId="2CF0FBAE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33F41B87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</w:p>
                <w:p w14:paraId="36D0D14D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Directive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Empowering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greenwashing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/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labelling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</w:t>
                  </w:r>
                </w:p>
                <w:p w14:paraId="03FA46DA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Exchange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concerns</w:t>
                  </w:r>
                  <w:proofErr w:type="spellEnd"/>
                </w:p>
                <w:p w14:paraId="337CBE70" w14:textId="77777777" w:rsidR="003F4E75" w:rsidRPr="003F4E75" w:rsidRDefault="003F4E75" w:rsidP="003F4E7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&gt;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AOB :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AOB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secretariat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21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info@frucom.eu</w:t>
                    </w:r>
                  </w:hyperlink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/ </w:t>
                  </w:r>
                  <w:hyperlink r:id="rId22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lmofolo@frucom.eu</w:t>
                    </w:r>
                  </w:hyperlink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Friday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22 May.</w:t>
                  </w:r>
                </w:p>
                <w:p w14:paraId="53A28CBA" w14:textId="77777777" w:rsidR="003F4E75" w:rsidRPr="003F4E75" w:rsidRDefault="003F4E75" w:rsidP="003F4E75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1DFDA4B2" w14:textId="77777777" w:rsidR="003F4E75" w:rsidRPr="009D7D18" w:rsidRDefault="003F4E75" w:rsidP="009D7D18">
                  <w:pPr>
                    <w:spacing w:after="120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9D7D18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ALL PRODUCTS</w:t>
                  </w:r>
                </w:p>
                <w:p w14:paraId="26A41470" w14:textId="77777777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3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European Parliament to vote on the updated Generalised scheme of tariff preferences</w:t>
                    </w:r>
                  </w:hyperlink>
                </w:p>
                <w:p w14:paraId="7FB0C302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28 April,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Generalised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B361804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January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2027.</w:t>
                  </w:r>
                </w:p>
                <w:p w14:paraId="254427B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13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 Meeting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Generalised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held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explained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Report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GSP.</w:t>
                  </w:r>
                </w:p>
                <w:p w14:paraId="42B3B42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 Report,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2023-2025.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deadline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input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27th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Summer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03120F0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preliminary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developments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Bolivia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Cabo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Verde,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Kyrgyzstan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Mongolia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Pakistan,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Philippines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Sri Lanka,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Uzbekistan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cluster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human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rights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labour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rights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climate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governance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6D6A25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Under AOB,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delegated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two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types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(i)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2027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2036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TRQs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GSP+,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conduct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temporary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withdrawals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general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safeguards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investigations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(ii)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related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Mongolia’s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graduation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planned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Meeting,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planned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May 2026.</w:t>
                  </w:r>
                </w:p>
                <w:p w14:paraId="531E7238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24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https://ec.europa.eu/transparency/expert-groups-register/core/api/front/document/129555/download</w:t>
                    </w:r>
                  </w:hyperlink>
                </w:p>
                <w:p w14:paraId="5210A8EE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Under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LDCs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zero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42DA37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benefiting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GSP+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</w:p>
                <w:p w14:paraId="45E46FA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Bolivia</w:t>
                  </w:r>
                  <w:proofErr w:type="spellEnd"/>
                </w:p>
                <w:p w14:paraId="679D5E8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Cape Verde</w:t>
                  </w:r>
                </w:p>
                <w:p w14:paraId="1B40EFC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Kyrgyzstan</w:t>
                  </w:r>
                  <w:proofErr w:type="spellEnd"/>
                </w:p>
                <w:p w14:paraId="253AC99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Mongolia</w:t>
                  </w:r>
                  <w:proofErr w:type="spellEnd"/>
                </w:p>
                <w:p w14:paraId="5B54266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Pakistan</w:t>
                  </w:r>
                </w:p>
                <w:p w14:paraId="46513B7E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Philippines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</w:t>
                  </w:r>
                </w:p>
                <w:p w14:paraId="35642BF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Sri Lanka</w:t>
                  </w:r>
                </w:p>
                <w:p w14:paraId="5EF7586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·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Uzbekistan</w:t>
                  </w:r>
                  <w:proofErr w:type="spellEnd"/>
                </w:p>
                <w:p w14:paraId="52065D2D" w14:textId="7C7B26DC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hyperlink r:id="rId25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https://gsphub.eu/about-gsp/gsp-review</w:t>
                    </w:r>
                  </w:hyperlink>
                </w:p>
                <w:p w14:paraId="4FFD23D1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55AF6884" w14:textId="1B8ECA8C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6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FRUCOM Questions and Answers: How to address challenges related to Autonomous Duty Suspension and Autonomous Quotas</w:t>
                    </w:r>
                  </w:hyperlink>
                </w:p>
                <w:p w14:paraId="454968A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recently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related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autonomous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C41445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together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(DG TAXUD)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Autonomous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EE847E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Therefore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first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submitted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central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Türkiye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TAXUD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authorisation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Economie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Tarifaire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(E00947))</w:t>
                  </w:r>
                </w:p>
                <w:p w14:paraId="101B318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central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Türkiye can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found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here: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"http://ec.europa.eu/taxation_customs/dds2/susp/faq/20131127-Contact-List.pdf" \l "zoom=125"</w:instrTex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3F4E75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Contact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Points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</w:p>
                <w:p w14:paraId="7E47BBE4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contact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modifications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autonomous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1000E58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Türkiye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responsible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making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sure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fulfil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autonomous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accurate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material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aspects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Türkiye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transmits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registered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Autonomous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Management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A330AD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33333E1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 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exists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</w:p>
                <w:p w14:paraId="4FE18804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uncollected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less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EUR 15 000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A2BD9D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submitted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competent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Administrations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on:</w:t>
                  </w:r>
                </w:p>
                <w:p w14:paraId="1F52006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- 15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January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</w:p>
                <w:p w14:paraId="27E53DD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- 15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082283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27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https://taxation-customs.ec.europa.eu/customs/common-customs-tariff-cct/autonomous-tariff-suspensions-and-quotas_en</w:t>
                    </w:r>
                  </w:hyperlink>
                </w:p>
                <w:p w14:paraId="564369F8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</w:p>
                <w:p w14:paraId="3C4D87EB" w14:textId="3D53E34A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8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Additives: EFSA data collection of potassium sorbate (among others)</w:t>
                    </w:r>
                  </w:hyperlink>
                </w:p>
                <w:p w14:paraId="05641638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(EFSA) has an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ongoing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additives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Sorbic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potassium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sorbate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200 -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202).</w:t>
                  </w:r>
                </w:p>
                <w:p w14:paraId="6BB51FA2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monitoring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programme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pilot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testing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According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 “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during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monitoring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could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future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purposes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e.g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combined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exposure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multiple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chemicals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”.</w:t>
                  </w:r>
                </w:p>
                <w:p w14:paraId="1E8B7A0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analytical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presence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combined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must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submitted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appropriate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EFSA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templates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described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deadline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30th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2026.</w:t>
                  </w:r>
                </w:p>
                <w:p w14:paraId="67D4E882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FRUCOM's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Fruit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Nuts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(21 April), DG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SANTE's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representative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detailed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dedicated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slides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  </w:t>
                  </w:r>
                </w:p>
                <w:p w14:paraId="6DE8A322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29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https://www.efsa.europa.eu/en/call/open-call-food-additives-and-flavourings-analytical-use-level-and-presence-data-during-second</w:t>
                    </w:r>
                  </w:hyperlink>
                </w:p>
                <w:p w14:paraId="409BFAD9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4663ED71" w14:textId="734531FF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0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NGTs: Council adopts draft Regulation on New Genomic Techniques</w:t>
                    </w:r>
                  </w:hyperlink>
                </w:p>
                <w:p w14:paraId="0298D53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New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Genomic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Techniques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NGTs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circular: </w:t>
                  </w:r>
                  <w:hyperlink r:id="rId31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https://frucom.eu/circulars/5716:ngts-eu-council-and-parliament-reach-provisional-agreement.html</w:t>
                    </w:r>
                  </w:hyperlink>
                </w:p>
                <w:p w14:paraId="3C38EF5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steps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F43555E" w14:textId="77777777" w:rsidR="003F4E75" w:rsidRPr="003F4E75" w:rsidRDefault="003F4E75" w:rsidP="009D7D18">
                  <w:pPr>
                    <w:numPr>
                      <w:ilvl w:val="2"/>
                      <w:numId w:val="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Formal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52EE9CB" w14:textId="77777777" w:rsidR="003F4E75" w:rsidRPr="003F4E75" w:rsidRDefault="003F4E75" w:rsidP="009D7D18">
                  <w:pPr>
                    <w:numPr>
                      <w:ilvl w:val="2"/>
                      <w:numId w:val="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 24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transition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application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2028).</w:t>
                  </w:r>
                </w:p>
                <w:p w14:paraId="73CBC0E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 </w:t>
                  </w:r>
                  <w:hyperlink r:id="rId32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https://data.consilium.europa.eu/doc/document/ST-17037-2025-INIT/en/pdf</w:t>
                    </w:r>
                  </w:hyperlink>
                </w:p>
                <w:p w14:paraId="401C7F97" w14:textId="77777777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3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Commission proposal to lower MRLs of benomyl, carbendazim and thiophanate</w:t>
                    </w:r>
                    <w:r w:rsidRPr="003F4E75">
                      <w:rPr>
                        <w:rFonts w:ascii="Cambria Math" w:eastAsia="Times New Roman" w:hAnsi="Cambria Math" w:cs="Cambria Math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‐</w:t>
                    </w:r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methyl</w:t>
                    </w:r>
                  </w:hyperlink>
                </w:p>
                <w:p w14:paraId="20578F89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EU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endorsed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benomyl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carbendazim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thiophanate</w:t>
                  </w:r>
                  <w:r w:rsidRPr="003F4E75">
                    <w:rPr>
                      <w:rFonts w:ascii="Cambria Math" w:eastAsia="Times New Roman" w:hAnsi="Cambria Math" w:cs="Cambria Math"/>
                      <w:color w:val="333333"/>
                      <w:kern w:val="0"/>
                      <w14:ligatures w14:val="none"/>
                    </w:rPr>
                    <w:t>‐</w:t>
                  </w: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Meeting.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French ban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January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Polish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similar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</w:p>
                <w:p w14:paraId="5A2A3FC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topic: </w:t>
                  </w:r>
                  <w:hyperlink r:id="rId34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https://frucom.eu/circulars/5802:pesticides-conclusions-of-member-state-meeting-on-the-french-ban-of-5-pesticides-in-several-products.html</w:t>
                    </w:r>
                  </w:hyperlink>
                </w:p>
                <w:p w14:paraId="21DD9A4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two-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month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scrutiny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examine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absence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objection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institutions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</w:t>
                  </w:r>
                </w:p>
                <w:p w14:paraId="4D7529C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5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https://ec.europa.eu/newsroom/sante/newsletter-archives/74412</w:t>
                    </w:r>
                  </w:hyperlink>
                </w:p>
                <w:p w14:paraId="22CFAA48" w14:textId="0848432F" w:rsidR="003F4E75" w:rsidRPr="003F4E75" w:rsidRDefault="009D7D18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6" w:history="1">
                    <w:r w:rsidRPr="0016177B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https://ec.europa.eu/transparency/comitology-register/screen/documents/105274/4</w:t>
                    </w:r>
                  </w:hyperlink>
                </w:p>
                <w:p w14:paraId="5399DEEC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6BAA316F" w14:textId="787FA2EA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7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Commission publishes MRLs for acetamiprid, aclonifen, deltamethrin, oxathiapiprolin and potassium phosphonates in certain products</w:t>
                    </w:r>
                  </w:hyperlink>
                </w:p>
                <w:p w14:paraId="7B37608A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2026/876 of 21 April 2026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(EC) No 396/2005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acetamiprid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aclonifen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oxathiapiprolin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potassium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phosphonates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67F79A8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MRL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(mg/kg)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336AEEA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Acetamiprid</w:t>
                  </w:r>
                  <w:proofErr w:type="spellEnd"/>
                </w:p>
                <w:p w14:paraId="28538272" w14:textId="77777777" w:rsidR="003F4E75" w:rsidRPr="003F4E75" w:rsidRDefault="003F4E75" w:rsidP="009D7D18">
                  <w:pPr>
                    <w:numPr>
                      <w:ilvl w:val="2"/>
                      <w:numId w:val="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Honey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apiculture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1.</w:t>
                  </w:r>
                </w:p>
                <w:p w14:paraId="26C0253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Deltamethrin</w:t>
                  </w:r>
                  <w:proofErr w:type="spellEnd"/>
                </w:p>
                <w:p w14:paraId="34603B45" w14:textId="77777777" w:rsidR="003F4E75" w:rsidRPr="003F4E75" w:rsidRDefault="003F4E75" w:rsidP="009D7D18">
                  <w:pPr>
                    <w:numPr>
                      <w:ilvl w:val="2"/>
                      <w:numId w:val="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Cherries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sweet</w:t>
                  </w:r>
                  <w:proofErr w:type="spellEnd"/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0.15.</w:t>
                  </w:r>
                </w:p>
                <w:p w14:paraId="6ACE97D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Oxathiapiprolin</w:t>
                  </w:r>
                  <w:proofErr w:type="spellEnd"/>
                </w:p>
                <w:p w14:paraId="12A2E6EC" w14:textId="77777777" w:rsidR="003F4E75" w:rsidRPr="003F4E75" w:rsidRDefault="003F4E75" w:rsidP="009D7D18">
                  <w:pPr>
                    <w:numPr>
                      <w:ilvl w:val="2"/>
                      <w:numId w:val="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Brussels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sprouts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0.015.</w:t>
                  </w:r>
                </w:p>
                <w:p w14:paraId="0E81B5FE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Potassium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phosphonates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expressed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Phosphonic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salts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expressed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phosphonic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(R)):</w:t>
                  </w:r>
                </w:p>
                <w:p w14:paraId="212F84FA" w14:textId="77777777" w:rsidR="003F4E75" w:rsidRPr="003F4E75" w:rsidRDefault="003F4E75" w:rsidP="009D7D18">
                  <w:pPr>
                    <w:numPr>
                      <w:ilvl w:val="2"/>
                      <w:numId w:val="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Cherries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sweet</w:t>
                  </w:r>
                  <w:proofErr w:type="spellEnd"/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80.</w:t>
                  </w:r>
                </w:p>
                <w:p w14:paraId="370D2B09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twentieth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22 April).</w:t>
                  </w:r>
                </w:p>
                <w:p w14:paraId="0F38C54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8" w:anchor="ntr2-L_202600876EN.000101-E0002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https://eur-lex.europa.eu/legal-content/EN/TXT/?uri=OJ:L_202600876#ntr2-L_202600876EN.000101-E0002</w:t>
                    </w:r>
                  </w:hyperlink>
                </w:p>
                <w:p w14:paraId="79FEA668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56A4071F" w14:textId="77777777" w:rsidR="009D7D18" w:rsidRDefault="009D7D18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</w:p>
                <w:p w14:paraId="626B758E" w14:textId="3942E6FB" w:rsidR="003F4E75" w:rsidRPr="003F4E75" w:rsidRDefault="003F4E75" w:rsidP="009D7D18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9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Pesticides: Agendas of Commission meetings with Member States on 18-19 May</w:t>
                    </w:r>
                  </w:hyperlink>
                </w:p>
                <w:p w14:paraId="4F89A379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Animals, Food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(SCOPAFF),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Phytopharmaceuticals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18 -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19 May 2026.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E513F7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Section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B</w:t>
                  </w:r>
                </w:p>
                <w:p w14:paraId="3DFC57E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</w:p>
                <w:p w14:paraId="14C5F2A5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B.01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2020/617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conditions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-M</w:t>
                  </w:r>
                </w:p>
                <w:p w14:paraId="08FA6BBA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-M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10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0A03728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B.02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renewing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pelargonic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(EU) No 540/2011</w:t>
                  </w:r>
                </w:p>
                <w:p w14:paraId="414C474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6566FA4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B.03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Capsicum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oleoresin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 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basic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placing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market</w:t>
                  </w:r>
                </w:p>
                <w:p w14:paraId="5D05B70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F4C4AB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B.04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basic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Urtica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spp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.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in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placing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market</w:t>
                  </w:r>
                </w:p>
                <w:p w14:paraId="6CDAEB8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58B6C59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B.05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renewing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mecoprop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-P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(EU) No 540/2011</w:t>
                  </w:r>
                </w:p>
                <w:p w14:paraId="70C84A0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ECBE0A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B.06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283/2013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setting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out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requirements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 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placing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market</w:t>
                  </w:r>
                </w:p>
                <w:p w14:paraId="7E75596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lastRenderedPageBreak/>
                    <w:t xml:space="preserve">B.07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284/2013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setting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out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requirements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 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placing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market</w:t>
                  </w:r>
                </w:p>
                <w:p w14:paraId="76F49BB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B.08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546/2011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uniform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principles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evaluation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authorisation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plant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protection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</w:p>
                <w:p w14:paraId="2107864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B.09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deleting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methoxyfenozide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penthiopyrad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terpenoid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blend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QRD 460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list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under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</w:p>
                <w:p w14:paraId="38B79CA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methoxyfenozide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penthiopirad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terpenoid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blend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QRD 460.</w:t>
                  </w:r>
                </w:p>
                <w:p w14:paraId="7700747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Methoxyfenozide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top10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7822C3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B.10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extension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periods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bensulfuron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benzovindiflupyr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chlorotoluron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clethodim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cycloxydim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cymoxanil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dazomet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deltamethrin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diclofop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fenazaquin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fluopicolide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hymexazol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 lambda-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cyhalothrin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MCPA, MCPB,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metaldehyde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metsulfuron-methyl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paclobutrazol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tebuconazole</w:t>
                  </w:r>
                  <w:proofErr w:type="spellEnd"/>
                </w:p>
                <w:p w14:paraId="07E6179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benzovindiflupyr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chlorotoluron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cycloxydim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dazomet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diclofop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hymexazol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metaldehyde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metsulfuron-methyl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paclobutrazol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clethodim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cymoxanil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mango.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fenazaquin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fluopicolide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On lambda-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cyhalothrin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cherries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tomato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goji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berries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currants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On MCPA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MCPB,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tebuconazole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apricots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corn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124A44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benfulsufron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flupicolide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5BEDACA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Deltamethrin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fluopicolide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 lambda-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cyhalothrin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tebuconazole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collection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5DC2430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B.11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possible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opinion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 as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regards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extension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periods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aclonifen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amisulbrom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Bacillus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amyloliquefaciens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strain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MBI 600,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lastRenderedPageBreak/>
                    <w:t>beflubutamid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clomazone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cyantraniliprole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cyprodinil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daminozide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dichlorprop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-P,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dimethachlor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fludioxonil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formetanate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fosetyl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isofetamid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metazachlor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penconazole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phenmedipham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pirimicarb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pyraclostrobin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S-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abscisic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acid</w:t>
                  </w:r>
                  <w:proofErr w:type="spellEnd"/>
                </w:p>
                <w:p w14:paraId="7965371A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3AFFCF5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Small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aclonifen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amisulbrom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beflubutamid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clomazone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cyantraniliprole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daminozide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dichlorprop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-P,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dimethachlor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formetanate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fosetyl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isofetamid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metazachlor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phenmedipham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pirimicarb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–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2C20FDB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cyprodinil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fludioxonil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penconazole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pyraclostrobin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9E6F07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Bacillus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amyloliquefaciens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strain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MBI 600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s-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abscisic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acid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BA3F001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Top10/30 in 2025: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metalaxyl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-M (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cyprodinil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fosetyl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10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Pyraclostrobin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30.</w:t>
                  </w:r>
                </w:p>
                <w:p w14:paraId="3B3B40FD" w14:textId="77777777" w:rsidR="003F4E75" w:rsidRPr="003F4E75" w:rsidRDefault="003F4E75" w:rsidP="003F4E75">
                  <w:pPr>
                    <w:spacing w:after="120" w:line="240" w:lineRule="auto"/>
                    <w:ind w:left="1440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6B38EF9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Section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C</w:t>
                  </w:r>
                </w:p>
                <w:p w14:paraId="024C7137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(s)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presented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discussion</w:t>
                  </w:r>
                  <w:proofErr w:type="spellEnd"/>
                </w:p>
                <w:p w14:paraId="499FFA1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C.01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flutolanil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2015/408</w:t>
                  </w:r>
                </w:p>
                <w:p w14:paraId="194AE7A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9A6D114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C.02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buprofezin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</w:t>
                  </w:r>
                </w:p>
                <w:p w14:paraId="3FAFE86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A74503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C.03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pirimicarb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2015/408</w:t>
                  </w:r>
                </w:p>
                <w:p w14:paraId="3B3778F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A29AEFE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C.04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pydiflumetofen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as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candidate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substitution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</w:t>
                  </w:r>
                </w:p>
                <w:p w14:paraId="0C2B36B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0DFE32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C.05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lastRenderedPageBreak/>
                    <w:t>triclopyr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</w:t>
                  </w:r>
                </w:p>
                <w:p w14:paraId="581A179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residual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peanuts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C092179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C.06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phosphine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</w:t>
                  </w:r>
                </w:p>
                <w:p w14:paraId="055622AF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47D53A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C.07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non-renewal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cyprodinil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, in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2015/408</w:t>
                  </w:r>
                </w:p>
                <w:p w14:paraId="66FE79AA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but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B8E6CB6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10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31ED68EC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C.08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concerning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non-approval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benzobicyclon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</w:p>
                <w:p w14:paraId="7BDEE14D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0763053" w14:textId="77777777" w:rsidR="003F4E75" w:rsidRPr="003F4E75" w:rsidRDefault="003F4E75" w:rsidP="009D7D18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C.09 Exchange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views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Committee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draft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 (EU)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renewing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approval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active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pyraclostrobin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accordance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(EC) No 1107/2009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European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Parliament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Council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(EU) No 540/2011</w:t>
                  </w:r>
                </w:p>
                <w:p w14:paraId="4128A29D" w14:textId="77777777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especially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sultanas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but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exceedances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EF33F4B" w14:textId="77777777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top 30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detected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1C9F8E4D" w14:textId="54415E91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attachment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3022DDF1" w14:textId="77777777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0" w:history="1">
                    <w:proofErr w:type="gramStart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sc</w:t>
                    </w:r>
                    <w:proofErr w:type="gramEnd"/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_phyto_20260518_ppr_agenda</w:t>
                    </w:r>
                  </w:hyperlink>
                </w:p>
                <w:p w14:paraId="2480CA34" w14:textId="77777777" w:rsidR="00B64645" w:rsidRDefault="00B64645" w:rsidP="00B64645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79761DD" w14:textId="6AD5BB56" w:rsidR="003F4E75" w:rsidRPr="003F4E75" w:rsidRDefault="003F4E75" w:rsidP="00B64645">
                  <w:pPr>
                    <w:spacing w:after="120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41" w:history="1"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2026/17 (20/04/</w:t>
                    </w:r>
                    <w:proofErr w:type="gramStart"/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3F4E75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26/04/2026)</w:t>
                    </w:r>
                  </w:hyperlink>
                </w:p>
                <w:p w14:paraId="7592113B" w14:textId="77777777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2026/17 (20/04/</w:t>
                  </w:r>
                  <w:proofErr w:type="gram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26/04/2026).</w:t>
                  </w:r>
                </w:p>
                <w:p w14:paraId="7FABFC3E" w14:textId="77777777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3F4E75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7922140B" w14:textId="184EBC66" w:rsidR="003F4E75" w:rsidRPr="003F4E75" w:rsidRDefault="003F4E75" w:rsidP="00B64645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42" w:history="1"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FRUCOMRASFF2026</w:t>
                    </w:r>
                    <w:r w:rsidRPr="003F4E75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_Week17</w:t>
                    </w:r>
                  </w:hyperlink>
                </w:p>
              </w:tc>
            </w:tr>
          </w:tbl>
          <w:p w14:paraId="4AB62DB0" w14:textId="77777777" w:rsidR="003F4E75" w:rsidRPr="003F4E75" w:rsidRDefault="003F4E75" w:rsidP="003F4E75">
            <w:pPr>
              <w:spacing w:after="120" w:line="240" w:lineRule="auto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0B9E6CD1" w14:textId="77777777" w:rsidR="00171A74" w:rsidRPr="003F4E75" w:rsidRDefault="00171A74" w:rsidP="00B64645">
      <w:pPr>
        <w:spacing w:after="120" w:line="240" w:lineRule="auto"/>
      </w:pPr>
    </w:p>
    <w:sectPr w:rsidR="00171A74" w:rsidRPr="003F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F3540"/>
    <w:multiLevelType w:val="multilevel"/>
    <w:tmpl w:val="1680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854F80"/>
    <w:multiLevelType w:val="multilevel"/>
    <w:tmpl w:val="7E2A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517478">
    <w:abstractNumId w:val="1"/>
  </w:num>
  <w:num w:numId="2" w16cid:durableId="1210722791">
    <w:abstractNumId w:val="0"/>
  </w:num>
  <w:num w:numId="3" w16cid:durableId="1930188555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 w16cid:durableId="1723676176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907807132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693065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2126536058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638339850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6F"/>
    <w:rsid w:val="00090D4A"/>
    <w:rsid w:val="00171A74"/>
    <w:rsid w:val="003F4E75"/>
    <w:rsid w:val="009D7D18"/>
    <w:rsid w:val="00B64645"/>
    <w:rsid w:val="00C02C6F"/>
    <w:rsid w:val="00C97397"/>
    <w:rsid w:val="00F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502A"/>
  <w15:chartTrackingRefBased/>
  <w15:docId w15:val="{46719660-F548-43D8-A082-FE72E3B7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2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2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2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2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2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2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2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2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2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2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2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2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2C6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2C6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2C6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2C6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2C6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2C6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2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2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2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2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2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2C6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2C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2C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2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2C6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2C6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D7D1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D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https://frucom.eu/component/attachments/attachments.html?task=attachment&amp;id=3009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javascript:void(0);" TargetMode="External"/><Relationship Id="rId21" Type="http://schemas.openxmlformats.org/officeDocument/2006/relationships/hyperlink" Target="mailto:info@frucom.eu" TargetMode="External"/><Relationship Id="rId34" Type="http://schemas.openxmlformats.org/officeDocument/2006/relationships/hyperlink" Target="https://frucom.eu/circulars/5802:pesticides-conclusions-of-member-state-meeting-on-the-french-ban-of-5-pesticides-in-several-products.html" TargetMode="External"/><Relationship Id="rId42" Type="http://schemas.openxmlformats.org/officeDocument/2006/relationships/hyperlink" Target="https://frucom.eu/component/attachments/attachments.html?task=attachment&amp;id=3005" TargetMode="Externa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ucom.eu/component/attachments/attachments.html?task=attachment&amp;id=3007" TargetMode="External"/><Relationship Id="rId20" Type="http://schemas.openxmlformats.org/officeDocument/2006/relationships/hyperlink" Target="https://doodle.com/group-poll/participate/bDZKMLye" TargetMode="External"/><Relationship Id="rId29" Type="http://schemas.openxmlformats.org/officeDocument/2006/relationships/hyperlink" Target="https://www.efsa.europa.eu/en/call/open-call-food-additives-and-flavourings-analytical-use-level-and-presence-data-during-second" TargetMode="External"/><Relationship Id="rId41" Type="http://schemas.openxmlformats.org/officeDocument/2006/relationships/hyperlink" Target="javascript:void(0);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ec.europa.eu/transparency/expert-groups-register/core/api/front/document/129555/download" TargetMode="External"/><Relationship Id="rId32" Type="http://schemas.openxmlformats.org/officeDocument/2006/relationships/hyperlink" Target="https://data.consilium.europa.eu/doc/document/ST-17037-2025-INIT/en/pdf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hyperlink" Target="https://frucom.eu/component/attachments/attachments.html?task=attachment&amp;id=3010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javascript:void(0);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https://ec.europa.eu/transparency/comitology-register/screen/documents/105274/4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31" Type="http://schemas.openxmlformats.org/officeDocument/2006/relationships/hyperlink" Target="https://frucom.eu/circulars/5716:ngts-eu-council-and-parliament-reach-provisional-agreement.htm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mailto:lmofolo@frucom.eu" TargetMode="External"/><Relationship Id="rId27" Type="http://schemas.openxmlformats.org/officeDocument/2006/relationships/hyperlink" Target="https://taxation-customs.ec.europa.eu/customs/common-customs-tariff-cct/autonomous-tariff-suspensions-and-quotas_en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ec.europa.eu/newsroom/sante/newsletter-archives/74412" TargetMode="External"/><Relationship Id="rId43" Type="http://schemas.openxmlformats.org/officeDocument/2006/relationships/fontTable" Target="fontTable.xml"/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frucom.eu/component/attachments/attachments.html?task=attachment&amp;id=3008" TargetMode="External"/><Relationship Id="rId25" Type="http://schemas.openxmlformats.org/officeDocument/2006/relationships/hyperlink" Target="https://gsphub.eu/about-gsp/gsp-review" TargetMode="External"/><Relationship Id="rId33" Type="http://schemas.openxmlformats.org/officeDocument/2006/relationships/hyperlink" Target="javascript:void(0);" TargetMode="External"/><Relationship Id="rId38" Type="http://schemas.openxmlformats.org/officeDocument/2006/relationships/hyperlink" Target="https://eur-lex.europa.eu/legal-content/EN/TXT/?uri=OJ:L_202600876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3610</Words>
  <Characters>20580</Characters>
  <Application>Microsoft Office Word</Application>
  <DocSecurity>0</DocSecurity>
  <Lines>171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2026-04-28T05:37:00Z</dcterms:created>
  <dcterms:modified xsi:type="dcterms:W3CDTF">2026-04-28T05:37:00Z</dcterms:modified>
</cp:coreProperties>
</file>